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2D6CC3" w14:textId="10AC7221" w:rsidR="00E51520" w:rsidRPr="00FE1F13" w:rsidRDefault="00E51520" w:rsidP="00E51520">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 xml:space="preserve">3GPP TSG-RAN </w:t>
      </w:r>
      <w:r>
        <w:rPr>
          <w:rFonts w:eastAsia="MS Mincho" w:cs="Arial"/>
          <w:kern w:val="0"/>
          <w:sz w:val="24"/>
          <w:lang w:val="en-US" w:eastAsia="en-US"/>
        </w:rPr>
        <w:t>WG1 #8</w:t>
      </w:r>
      <w:r w:rsidR="00BC6B2E">
        <w:rPr>
          <w:rFonts w:eastAsia="MS Mincho" w:cs="Arial"/>
          <w:kern w:val="0"/>
          <w:sz w:val="24"/>
          <w:lang w:val="en-US" w:eastAsia="en-US"/>
        </w:rPr>
        <w:t>3</w:t>
      </w:r>
      <w:r>
        <w:rPr>
          <w:rFonts w:eastAsia="MS Mincho" w:cs="Arial"/>
          <w:kern w:val="0"/>
          <w:sz w:val="24"/>
          <w:lang w:val="en-US" w:eastAsia="en-US"/>
        </w:rPr>
        <w:tab/>
      </w:r>
      <w:r w:rsidR="005C1124">
        <w:rPr>
          <w:rFonts w:eastAsia="MS Mincho" w:cs="Arial"/>
          <w:kern w:val="0"/>
          <w:sz w:val="24"/>
          <w:lang w:val="en-US" w:eastAsia="en-US"/>
        </w:rPr>
        <w:t>R1-</w:t>
      </w:r>
      <w:r w:rsidR="005C1124" w:rsidRPr="005C1124">
        <w:rPr>
          <w:rFonts w:eastAsia="MS Mincho" w:cs="Arial"/>
          <w:kern w:val="0"/>
          <w:sz w:val="24"/>
          <w:lang w:val="en-US" w:eastAsia="en-US"/>
        </w:rPr>
        <w:t>157575</w:t>
      </w:r>
    </w:p>
    <w:p w14:paraId="1F09EC27" w14:textId="77777777" w:rsidR="00BC6B2E" w:rsidRPr="007129CE" w:rsidRDefault="00BC6B2E" w:rsidP="00BC6B2E">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129CE">
        <w:rPr>
          <w:rFonts w:eastAsia="MS Mincho" w:cs="Arial"/>
          <w:kern w:val="0"/>
          <w:sz w:val="24"/>
          <w:lang w:val="en-US" w:eastAsia="en-US"/>
        </w:rPr>
        <w:t>15 - 22 Nov 2015</w:t>
      </w:r>
    </w:p>
    <w:p w14:paraId="5AB55FFE" w14:textId="77777777" w:rsidR="00BC6B2E" w:rsidRPr="00BD21BC" w:rsidRDefault="00BC6B2E" w:rsidP="00BC6B2E">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442263">
        <w:rPr>
          <w:rFonts w:eastAsia="MS Mincho" w:cs="Arial"/>
          <w:kern w:val="0"/>
          <w:sz w:val="24"/>
          <w:lang w:val="en-US" w:eastAsia="en-US"/>
        </w:rPr>
        <w:t>Anaheim, US</w:t>
      </w:r>
    </w:p>
    <w:p w14:paraId="280104E1" w14:textId="77777777" w:rsidR="00E51520" w:rsidRDefault="00E51520" w:rsidP="00E51520">
      <w:pPr>
        <w:keepNext/>
        <w:tabs>
          <w:tab w:val="left" w:pos="2552"/>
        </w:tabs>
        <w:rPr>
          <w:rFonts w:cs="Arial"/>
          <w:b/>
          <w:sz w:val="24"/>
          <w:lang w:val="en-US"/>
        </w:rPr>
      </w:pPr>
    </w:p>
    <w:p w14:paraId="4A24E4C2" w14:textId="35B6C732" w:rsidR="00E51520" w:rsidRPr="00E21B75" w:rsidRDefault="00E51520" w:rsidP="00263018">
      <w:pPr>
        <w:keepNext/>
        <w:tabs>
          <w:tab w:val="left" w:pos="2268"/>
        </w:tabs>
        <w:ind w:left="2550" w:hanging="2550"/>
        <w:rPr>
          <w:rFonts w:cs="Arial"/>
          <w:b/>
          <w:sz w:val="24"/>
          <w:lang w:val="en-US"/>
        </w:rPr>
      </w:pPr>
      <w:r w:rsidRPr="00E21B75">
        <w:rPr>
          <w:rFonts w:cs="Arial"/>
          <w:b/>
          <w:sz w:val="24"/>
          <w:lang w:val="en-US"/>
        </w:rPr>
        <w:t xml:space="preserve">Source:       </w:t>
      </w:r>
      <w:r>
        <w:rPr>
          <w:rFonts w:cs="Arial"/>
          <w:b/>
          <w:sz w:val="24"/>
          <w:lang w:val="en-US"/>
        </w:rPr>
        <w:t xml:space="preserve">             </w:t>
      </w:r>
      <w:r>
        <w:rPr>
          <w:rFonts w:cs="Arial"/>
          <w:b/>
          <w:sz w:val="24"/>
          <w:lang w:val="en-US"/>
        </w:rPr>
        <w:tab/>
        <w:t>Ericsson</w:t>
      </w:r>
      <w:r w:rsidRPr="00E21B75">
        <w:rPr>
          <w:rFonts w:cs="Arial"/>
          <w:b/>
          <w:sz w:val="24"/>
          <w:lang w:val="en-US"/>
        </w:rPr>
        <w:t xml:space="preserve"> </w:t>
      </w:r>
    </w:p>
    <w:p w14:paraId="0468C916" w14:textId="6C10D24E" w:rsidR="00E51520" w:rsidRPr="00E21B75" w:rsidRDefault="00E51520" w:rsidP="00263018">
      <w:pPr>
        <w:keepNext/>
        <w:tabs>
          <w:tab w:val="left" w:pos="2268"/>
        </w:tabs>
        <w:rPr>
          <w:rFonts w:cs="Arial"/>
          <w:b/>
          <w:sz w:val="24"/>
          <w:lang w:val="en-US"/>
        </w:rPr>
      </w:pPr>
      <w:r>
        <w:rPr>
          <w:rFonts w:cs="Arial"/>
          <w:b/>
          <w:sz w:val="24"/>
          <w:lang w:val="en-US"/>
        </w:rPr>
        <w:t xml:space="preserve">Title:  </w:t>
      </w:r>
      <w:r>
        <w:rPr>
          <w:rFonts w:cs="Arial"/>
          <w:b/>
          <w:sz w:val="24"/>
          <w:lang w:val="en-US"/>
        </w:rPr>
        <w:tab/>
      </w:r>
      <w:r w:rsidR="00A95D78" w:rsidRPr="00A95D78">
        <w:rPr>
          <w:rFonts w:cs="Arial"/>
          <w:b/>
          <w:sz w:val="24"/>
          <w:lang w:val="en-US"/>
        </w:rPr>
        <w:t>NB-</w:t>
      </w:r>
      <w:proofErr w:type="spellStart"/>
      <w:r w:rsidR="00A95D78" w:rsidRPr="00A95D78">
        <w:rPr>
          <w:rFonts w:cs="Arial"/>
          <w:b/>
          <w:sz w:val="24"/>
          <w:lang w:val="en-US"/>
        </w:rPr>
        <w:t>IoT</w:t>
      </w:r>
      <w:proofErr w:type="spellEnd"/>
      <w:r w:rsidR="00A95D78" w:rsidRPr="00A95D78">
        <w:rPr>
          <w:rFonts w:cs="Arial"/>
          <w:b/>
          <w:sz w:val="24"/>
          <w:lang w:val="en-US"/>
        </w:rPr>
        <w:t xml:space="preserve"> - System level evaluation and comparison - standalone</w:t>
      </w:r>
    </w:p>
    <w:p w14:paraId="42F705F7" w14:textId="77777777" w:rsidR="00E51520" w:rsidRPr="00E21B75" w:rsidRDefault="00E51520" w:rsidP="00263018">
      <w:pPr>
        <w:keepNext/>
        <w:tabs>
          <w:tab w:val="left" w:pos="2268"/>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130780DC" w14:textId="0D1F8CD6" w:rsidR="00A675B4" w:rsidRPr="00D77539" w:rsidRDefault="00E51520" w:rsidP="00263018">
      <w:pPr>
        <w:keepNext/>
        <w:tabs>
          <w:tab w:val="left" w:pos="2268"/>
        </w:tabs>
        <w:rPr>
          <w:lang w:val="en-US"/>
        </w:rPr>
      </w:pPr>
      <w:r w:rsidRPr="00E21B75">
        <w:rPr>
          <w:rFonts w:cs="Arial"/>
          <w:b/>
          <w:sz w:val="24"/>
          <w:lang w:val="en-US"/>
        </w:rPr>
        <w:t xml:space="preserve">Agenda Item:         </w:t>
      </w:r>
      <w:r w:rsidRPr="00E21B75">
        <w:rPr>
          <w:rFonts w:cs="Arial"/>
          <w:b/>
          <w:sz w:val="24"/>
          <w:lang w:val="en-US"/>
        </w:rPr>
        <w:tab/>
      </w:r>
      <w:r w:rsidR="00BC6B2E" w:rsidRPr="00BC6B2E">
        <w:rPr>
          <w:rFonts w:cs="Arial"/>
          <w:b/>
          <w:sz w:val="24"/>
          <w:lang w:val="en-US"/>
        </w:rPr>
        <w:t>6.2.6.1.1</w:t>
      </w:r>
    </w:p>
    <w:p w14:paraId="577D267A" w14:textId="77777777" w:rsidR="00683F57" w:rsidRPr="003A6896" w:rsidRDefault="00683F57" w:rsidP="00683F57">
      <w:pPr>
        <w:pStyle w:val="Heading1"/>
      </w:pPr>
      <w:bookmarkStart w:id="0" w:name="_Ref409106980"/>
      <w:r w:rsidRPr="00763114">
        <w:t>Introduction</w:t>
      </w:r>
      <w:bookmarkEnd w:id="0"/>
    </w:p>
    <w:p w14:paraId="1CCCB634" w14:textId="40C63A54" w:rsidR="008C4026" w:rsidRPr="004B486D" w:rsidRDefault="008C4026" w:rsidP="008C4026">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Pr>
          <w:lang w:val="en-US"/>
        </w:rPr>
        <w:t xml:space="preserve"> was approved, see</w:t>
      </w:r>
      <w:r w:rsidR="000C12D4">
        <w:rPr>
          <w:lang w:val="en-US"/>
        </w:rPr>
        <w:t xml:space="preserve"> </w:t>
      </w:r>
      <w:r w:rsidR="000C12D4">
        <w:rPr>
          <w:lang w:val="en-US"/>
        </w:rPr>
        <w:fldChar w:fldCharType="begin"/>
      </w:r>
      <w:r w:rsidR="000C12D4">
        <w:rPr>
          <w:lang w:val="en-US"/>
        </w:rPr>
        <w:instrText xml:space="preserve"> REF _Ref430941298 \r \h </w:instrText>
      </w:r>
      <w:r w:rsidR="000C12D4">
        <w:rPr>
          <w:lang w:val="en-US"/>
        </w:rPr>
      </w:r>
      <w:r w:rsidR="000C12D4">
        <w:rPr>
          <w:lang w:val="en-US"/>
        </w:rPr>
        <w:fldChar w:fldCharType="separate"/>
      </w:r>
      <w:r w:rsidR="00240817">
        <w:rPr>
          <w:lang w:val="en-US"/>
        </w:rPr>
        <w:t>[1]</w:t>
      </w:r>
      <w:r w:rsidR="000C12D4">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747698C4" w14:textId="77777777" w:rsidR="008C4026" w:rsidRPr="004B486D" w:rsidRDefault="008C4026" w:rsidP="008C4026">
      <w:pPr>
        <w:pStyle w:val="BodyText"/>
        <w:rPr>
          <w:lang w:val="en-US"/>
        </w:rPr>
      </w:pPr>
      <w:r w:rsidRPr="004B486D">
        <w:rPr>
          <w:lang w:val="en-US"/>
        </w:rPr>
        <w:t xml:space="preserve">NB-IOT should support 3 different modes of operation: </w:t>
      </w:r>
    </w:p>
    <w:p w14:paraId="04CF9A08" w14:textId="77777777" w:rsidR="008C4026" w:rsidRPr="004B486D" w:rsidRDefault="008C4026" w:rsidP="008C4026">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2B54DDEE" w14:textId="77777777" w:rsidR="008C4026" w:rsidRPr="004B486D" w:rsidRDefault="008C4026" w:rsidP="008C4026">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71D2AFB3" w14:textId="77777777" w:rsidR="008C4026" w:rsidRDefault="008C4026" w:rsidP="008C4026">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6E0F4FA7" w14:textId="230B8E55" w:rsidR="00383CE6" w:rsidRDefault="00E07C2C" w:rsidP="00683F57">
      <w:pPr>
        <w:pStyle w:val="BodyText"/>
        <w:rPr>
          <w:color w:val="000000"/>
        </w:rPr>
      </w:pPr>
      <w:r>
        <w:rPr>
          <w:lang w:val="en-US"/>
        </w:rPr>
        <w:t xml:space="preserve">NB-IOT currently includes </w:t>
      </w:r>
      <w:r w:rsidRPr="00353B36">
        <w:rPr>
          <w:lang w:val="en-US"/>
        </w:rPr>
        <w:t xml:space="preserve">two </w:t>
      </w:r>
      <w:r>
        <w:rPr>
          <w:lang w:val="en-US"/>
        </w:rPr>
        <w:t xml:space="preserve">uplink </w:t>
      </w:r>
      <w:r w:rsidRPr="00353B36">
        <w:rPr>
          <w:lang w:val="en-US"/>
        </w:rPr>
        <w:t xml:space="preserve">options </w:t>
      </w:r>
      <w:r>
        <w:rPr>
          <w:lang w:val="en-US"/>
        </w:rPr>
        <w:t>under consideration,</w:t>
      </w:r>
      <w:r w:rsidRPr="00353B36">
        <w:rPr>
          <w:lang w:val="en-US"/>
        </w:rPr>
        <w:t xml:space="preserve"> </w:t>
      </w:r>
      <w:r>
        <w:rPr>
          <w:lang w:val="en-US"/>
        </w:rPr>
        <w:t>SC-</w:t>
      </w:r>
      <w:r w:rsidRPr="00353B36">
        <w:rPr>
          <w:lang w:val="en-US"/>
        </w:rPr>
        <w:t>FDMA</w:t>
      </w:r>
      <w:r>
        <w:rPr>
          <w:lang w:val="en-US"/>
        </w:rPr>
        <w:t>, and</w:t>
      </w:r>
      <w:r w:rsidRPr="00353B36">
        <w:rPr>
          <w:lang w:val="en-US"/>
        </w:rPr>
        <w:t xml:space="preserve"> </w:t>
      </w:r>
      <w:r>
        <w:rPr>
          <w:lang w:val="en-US"/>
        </w:rPr>
        <w:t xml:space="preserve">FDMA with GMSK modulation, and two downlink options, OFDM with 3.75 kHz subcarrier spacing, and OFDM with 15 kHz subcarrier spacing. </w:t>
      </w:r>
      <w:r w:rsidR="00964F3E">
        <w:rPr>
          <w:color w:val="000000"/>
        </w:rPr>
        <w:t xml:space="preserve">In this contribution, </w:t>
      </w:r>
      <w:r w:rsidR="00B453C7">
        <w:rPr>
          <w:color w:val="000000"/>
        </w:rPr>
        <w:t xml:space="preserve">a </w:t>
      </w:r>
      <w:r w:rsidR="00A1341C">
        <w:rPr>
          <w:color w:val="000000"/>
        </w:rPr>
        <w:t xml:space="preserve">multi-cell </w:t>
      </w:r>
      <w:r w:rsidR="00964F3E">
        <w:rPr>
          <w:color w:val="000000"/>
        </w:rPr>
        <w:t xml:space="preserve">system capacity </w:t>
      </w:r>
      <w:r w:rsidR="00B453C7">
        <w:rPr>
          <w:color w:val="000000"/>
        </w:rPr>
        <w:t>comparison</w:t>
      </w:r>
      <w:r w:rsidR="00964F3E">
        <w:rPr>
          <w:color w:val="000000"/>
        </w:rPr>
        <w:t xml:space="preserve"> </w:t>
      </w:r>
      <w:r w:rsidR="00B453C7">
        <w:rPr>
          <w:color w:val="000000"/>
        </w:rPr>
        <w:t>between</w:t>
      </w:r>
      <w:r w:rsidR="00907E4D">
        <w:rPr>
          <w:color w:val="000000"/>
        </w:rPr>
        <w:t xml:space="preserve"> </w:t>
      </w:r>
      <w:r>
        <w:rPr>
          <w:color w:val="000000"/>
        </w:rPr>
        <w:t xml:space="preserve">the NB-IOT design options </w:t>
      </w:r>
      <w:r w:rsidR="00964F3E">
        <w:rPr>
          <w:color w:val="000000"/>
        </w:rPr>
        <w:t>is presented. The simulatio</w:t>
      </w:r>
      <w:r w:rsidR="002032D4">
        <w:rPr>
          <w:color w:val="000000"/>
        </w:rPr>
        <w:t>n assumptions as descri</w:t>
      </w:r>
      <w:r w:rsidR="002032D4" w:rsidRPr="000C12D4">
        <w:rPr>
          <w:color w:val="000000"/>
        </w:rPr>
        <w:t xml:space="preserve">bed in </w:t>
      </w:r>
      <w:r w:rsidR="000C12D4" w:rsidRPr="000C12D4">
        <w:rPr>
          <w:lang w:val="en-US"/>
        </w:rPr>
        <w:fldChar w:fldCharType="begin"/>
      </w:r>
      <w:r w:rsidR="000C12D4" w:rsidRPr="000C12D4">
        <w:rPr>
          <w:lang w:val="en-US"/>
        </w:rPr>
        <w:instrText xml:space="preserve"> REF _Ref434632457 \r \h </w:instrText>
      </w:r>
      <w:r w:rsidR="000C12D4">
        <w:rPr>
          <w:lang w:val="en-US"/>
        </w:rPr>
        <w:instrText xml:space="preserve"> \* MERGEFORMAT </w:instrText>
      </w:r>
      <w:r w:rsidR="000C12D4" w:rsidRPr="000C12D4">
        <w:rPr>
          <w:lang w:val="en-US"/>
        </w:rPr>
      </w:r>
      <w:r w:rsidR="000C12D4" w:rsidRPr="000C12D4">
        <w:rPr>
          <w:lang w:val="en-US"/>
        </w:rPr>
        <w:fldChar w:fldCharType="separate"/>
      </w:r>
      <w:r w:rsidR="00240817">
        <w:rPr>
          <w:lang w:val="en-US"/>
        </w:rPr>
        <w:t>[2]</w:t>
      </w:r>
      <w:r w:rsidR="000C12D4" w:rsidRPr="000C12D4">
        <w:rPr>
          <w:lang w:val="en-US"/>
        </w:rPr>
        <w:fldChar w:fldCharType="end"/>
      </w:r>
      <w:r w:rsidR="000C12D4" w:rsidRPr="000C12D4">
        <w:rPr>
          <w:color w:val="000000"/>
        </w:rPr>
        <w:t xml:space="preserve"> </w:t>
      </w:r>
      <w:r w:rsidR="00964F3E" w:rsidRPr="000C12D4">
        <w:rPr>
          <w:color w:val="000000"/>
        </w:rPr>
        <w:t xml:space="preserve">are </w:t>
      </w:r>
      <w:r w:rsidR="008C4026" w:rsidRPr="000C12D4">
        <w:rPr>
          <w:color w:val="000000"/>
        </w:rPr>
        <w:t xml:space="preserve">fully </w:t>
      </w:r>
      <w:r w:rsidR="00964F3E" w:rsidRPr="000C12D4">
        <w:rPr>
          <w:color w:val="000000"/>
        </w:rPr>
        <w:t>adopted.</w:t>
      </w:r>
      <w:r w:rsidR="00EB7080">
        <w:rPr>
          <w:color w:val="000000"/>
        </w:rPr>
        <w:t xml:space="preserve"> </w:t>
      </w:r>
    </w:p>
    <w:p w14:paraId="53F1CDC1" w14:textId="3A420DC7" w:rsidR="00184770" w:rsidRPr="00184770" w:rsidRDefault="00184770" w:rsidP="00683F57">
      <w:pPr>
        <w:pStyle w:val="BodyText"/>
        <w:rPr>
          <w:b/>
          <w:color w:val="000000"/>
        </w:rPr>
      </w:pPr>
      <w:r w:rsidRPr="00184770">
        <w:rPr>
          <w:b/>
          <w:color w:val="000000"/>
        </w:rPr>
        <w:t xml:space="preserve">This contribution updates the results given in </w:t>
      </w:r>
      <w:r w:rsidRPr="00184770">
        <w:rPr>
          <w:b/>
          <w:color w:val="000000"/>
        </w:rPr>
        <w:fldChar w:fldCharType="begin"/>
      </w:r>
      <w:r w:rsidRPr="00184770">
        <w:rPr>
          <w:b/>
          <w:color w:val="000000"/>
        </w:rPr>
        <w:instrText xml:space="preserve"> REF _Ref435557263 \n \h </w:instrText>
      </w:r>
      <w:r>
        <w:rPr>
          <w:b/>
          <w:color w:val="000000"/>
        </w:rPr>
        <w:instrText xml:space="preserve"> \* MERGEFORMAT </w:instrText>
      </w:r>
      <w:r w:rsidRPr="00184770">
        <w:rPr>
          <w:b/>
          <w:color w:val="000000"/>
        </w:rPr>
      </w:r>
      <w:r w:rsidRPr="00184770">
        <w:rPr>
          <w:b/>
          <w:color w:val="000000"/>
        </w:rPr>
        <w:fldChar w:fldCharType="separate"/>
      </w:r>
      <w:r w:rsidR="00240817">
        <w:rPr>
          <w:b/>
          <w:color w:val="000000"/>
        </w:rPr>
        <w:t>[8]</w:t>
      </w:r>
      <w:r w:rsidRPr="00184770">
        <w:rPr>
          <w:b/>
          <w:color w:val="000000"/>
        </w:rPr>
        <w:fldChar w:fldCharType="end"/>
      </w:r>
      <w:r>
        <w:rPr>
          <w:b/>
          <w:color w:val="000000"/>
        </w:rPr>
        <w:t>. The results here include</w:t>
      </w:r>
      <w:r w:rsidRPr="00184770">
        <w:rPr>
          <w:b/>
          <w:color w:val="000000"/>
        </w:rPr>
        <w:t xml:space="preserve"> the PA back-off for multi-tone transmissions</w:t>
      </w:r>
      <w:r>
        <w:rPr>
          <w:b/>
          <w:color w:val="000000"/>
        </w:rPr>
        <w:t xml:space="preserve"> for the UL as well as the subcarrier spacing of 2.5 kHz FDMA with GMSK modulation. </w:t>
      </w:r>
    </w:p>
    <w:p w14:paraId="6DE59A79" w14:textId="77777777" w:rsidR="00D53C98" w:rsidRDefault="00D53C98" w:rsidP="00F00A2C">
      <w:pPr>
        <w:pStyle w:val="Heading1"/>
      </w:pPr>
      <w:r>
        <w:t>Simulation assumptions</w:t>
      </w:r>
    </w:p>
    <w:p w14:paraId="4058AE25" w14:textId="1C63F30B" w:rsidR="002C6DB8" w:rsidRDefault="00E15EB8" w:rsidP="00D53C98">
      <w:pPr>
        <w:pStyle w:val="Heading2"/>
      </w:pPr>
      <w:r>
        <w:t>Coupling loss model</w:t>
      </w:r>
    </w:p>
    <w:p w14:paraId="0ADAFBBB" w14:textId="2B4D297C" w:rsidR="00E15EB8" w:rsidRDefault="00E15EB8" w:rsidP="00E15EB8">
      <w:pPr>
        <w:pStyle w:val="BodyText"/>
      </w:pPr>
      <w:r>
        <w:t>Coupling loss distributions according to the system-level simulation param</w:t>
      </w:r>
      <w:r w:rsidR="002032D4">
        <w:t>eters specified in Annex D</w:t>
      </w:r>
      <w:r w:rsidR="000C12D4">
        <w:t xml:space="preserve"> of </w:t>
      </w:r>
      <w:r w:rsidR="000C12D4">
        <w:rPr>
          <w:lang w:val="en-US"/>
        </w:rPr>
        <w:fldChar w:fldCharType="begin"/>
      </w:r>
      <w:r w:rsidR="000C12D4">
        <w:rPr>
          <w:lang w:val="en-US"/>
        </w:rPr>
        <w:instrText xml:space="preserve"> REF _Ref434632457 \r \h </w:instrText>
      </w:r>
      <w:r w:rsidR="000C12D4">
        <w:rPr>
          <w:lang w:val="en-US"/>
        </w:rPr>
      </w:r>
      <w:r w:rsidR="000C12D4">
        <w:rPr>
          <w:lang w:val="en-US"/>
        </w:rPr>
        <w:fldChar w:fldCharType="separate"/>
      </w:r>
      <w:r w:rsidR="00240817">
        <w:rPr>
          <w:lang w:val="en-US"/>
        </w:rPr>
        <w:t>[2]</w:t>
      </w:r>
      <w:r w:rsidR="000C12D4">
        <w:rPr>
          <w:lang w:val="en-US"/>
        </w:rPr>
        <w:fldChar w:fldCharType="end"/>
      </w:r>
      <w:r>
        <w:t xml:space="preserve"> are shown in </w:t>
      </w:r>
      <w:r>
        <w:fldChar w:fldCharType="begin"/>
      </w:r>
      <w:r>
        <w:instrText xml:space="preserve"> REF _Ref426710034 \h </w:instrText>
      </w:r>
      <w:r>
        <w:fldChar w:fldCharType="separate"/>
      </w:r>
      <w:r w:rsidR="00240817">
        <w:t xml:space="preserve">Figure </w:t>
      </w:r>
      <w:r w:rsidR="00240817">
        <w:rPr>
          <w:noProof/>
        </w:rPr>
        <w:t>1</w:t>
      </w:r>
      <w:r>
        <w:fldChar w:fldCharType="end"/>
      </w:r>
      <w:r w:rsidR="004E2A68">
        <w:t>. Note that according</w:t>
      </w:r>
      <w:r w:rsidR="000C12D4">
        <w:t xml:space="preserve"> to </w:t>
      </w:r>
      <w:r w:rsidR="000C12D4">
        <w:rPr>
          <w:lang w:val="en-US"/>
        </w:rPr>
        <w:fldChar w:fldCharType="begin"/>
      </w:r>
      <w:r w:rsidR="000C12D4">
        <w:rPr>
          <w:lang w:val="en-US"/>
        </w:rPr>
        <w:instrText xml:space="preserve"> REF _Ref434632457 \r \h </w:instrText>
      </w:r>
      <w:r w:rsidR="000C12D4">
        <w:rPr>
          <w:lang w:val="en-US"/>
        </w:rPr>
      </w:r>
      <w:r w:rsidR="000C12D4">
        <w:rPr>
          <w:lang w:val="en-US"/>
        </w:rPr>
        <w:fldChar w:fldCharType="separate"/>
      </w:r>
      <w:r w:rsidR="00240817">
        <w:rPr>
          <w:lang w:val="en-US"/>
        </w:rPr>
        <w:t>[2]</w:t>
      </w:r>
      <w:r w:rsidR="000C12D4">
        <w:rPr>
          <w:lang w:val="en-US"/>
        </w:rPr>
        <w:fldChar w:fldCharType="end"/>
      </w:r>
      <w:r w:rsidR="000C12D4">
        <w:t xml:space="preserve">, </w:t>
      </w:r>
      <w:r>
        <w:t>Scenario 2 is the most challenging scenario since it has a higher percentage of UEs having higher extra wall penetration loss. We will use Scenario 2 with 0.75 building penetration loss (BPL) correlation in the below discussion and evaluation.</w:t>
      </w:r>
    </w:p>
    <w:p w14:paraId="0DF7F48D" w14:textId="21437B7F" w:rsidR="00E15EB8" w:rsidRDefault="005C6E4B" w:rsidP="00E15EB8">
      <w:pPr>
        <w:pStyle w:val="BodyText"/>
        <w:jc w:val="center"/>
      </w:pPr>
      <w:r>
        <w:rPr>
          <w:noProof/>
          <w:lang w:val="sv-SE"/>
        </w:rPr>
        <w:lastRenderedPageBreak/>
        <w:drawing>
          <wp:inline distT="0" distB="0" distL="0" distR="0" wp14:anchorId="4D8A5DC7" wp14:editId="20AF4EFC">
            <wp:extent cx="4266000" cy="319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6000" cy="3193200"/>
                    </a:xfrm>
                    <a:prstGeom prst="rect">
                      <a:avLst/>
                    </a:prstGeom>
                    <a:noFill/>
                    <a:ln>
                      <a:noFill/>
                    </a:ln>
                  </pic:spPr>
                </pic:pic>
              </a:graphicData>
            </a:graphic>
          </wp:inline>
        </w:drawing>
      </w:r>
    </w:p>
    <w:p w14:paraId="1BB5D310" w14:textId="0D2E1CB6" w:rsidR="00E15EB8" w:rsidRDefault="00E15EB8" w:rsidP="00BB49A5">
      <w:pPr>
        <w:pStyle w:val="Caption"/>
      </w:pPr>
      <w:bookmarkStart w:id="1" w:name="_Ref426710034"/>
      <w:r>
        <w:t xml:space="preserve">Figure </w:t>
      </w:r>
      <w:r>
        <w:fldChar w:fldCharType="begin"/>
      </w:r>
      <w:r>
        <w:instrText xml:space="preserve"> SEQ Figure \* ARABIC </w:instrText>
      </w:r>
      <w:r>
        <w:fldChar w:fldCharType="separate"/>
      </w:r>
      <w:r w:rsidR="00240817">
        <w:rPr>
          <w:noProof/>
        </w:rPr>
        <w:t>1</w:t>
      </w:r>
      <w:r>
        <w:rPr>
          <w:noProof/>
        </w:rPr>
        <w:fldChar w:fldCharType="end"/>
      </w:r>
      <w:bookmarkEnd w:id="1"/>
      <w:r>
        <w:t xml:space="preserve">: </w:t>
      </w:r>
      <w:r w:rsidRPr="00595F91">
        <w:t>Coupling loss distributions</w:t>
      </w:r>
      <w:r>
        <w:t xml:space="preserve"> for cases studied in GERAN </w:t>
      </w:r>
      <w:r>
        <w:br/>
      </w:r>
      <w:r w:rsidR="004E2A68">
        <w:t>(based on Annex D of</w:t>
      </w:r>
      <w:r w:rsidR="003F0D77">
        <w:t xml:space="preserve"> </w:t>
      </w:r>
      <w:r w:rsidR="003F0D77">
        <w:rPr>
          <w:lang w:val="en-US"/>
        </w:rPr>
        <w:fldChar w:fldCharType="begin"/>
      </w:r>
      <w:r w:rsidR="003F0D77">
        <w:rPr>
          <w:lang w:val="en-US"/>
        </w:rPr>
        <w:instrText xml:space="preserve"> REF _Ref434632457 \r \h </w:instrText>
      </w:r>
      <w:r w:rsidR="003F0D77">
        <w:rPr>
          <w:lang w:val="en-US"/>
        </w:rPr>
      </w:r>
      <w:r w:rsidR="003F0D77">
        <w:rPr>
          <w:lang w:val="en-US"/>
        </w:rPr>
        <w:fldChar w:fldCharType="separate"/>
      </w:r>
      <w:r w:rsidR="00240817">
        <w:rPr>
          <w:lang w:val="en-US"/>
        </w:rPr>
        <w:t>[2]</w:t>
      </w:r>
      <w:r w:rsidR="003F0D77">
        <w:rPr>
          <w:lang w:val="en-US"/>
        </w:rPr>
        <w:fldChar w:fldCharType="end"/>
      </w:r>
      <w:r>
        <w:t>).</w:t>
      </w:r>
    </w:p>
    <w:p w14:paraId="6BAFA3F3" w14:textId="583217F1" w:rsidR="00F036C2" w:rsidRDefault="00F036C2" w:rsidP="00D53C98">
      <w:pPr>
        <w:pStyle w:val="Heading2"/>
      </w:pPr>
      <w:r>
        <w:t>Traffic model</w:t>
      </w:r>
    </w:p>
    <w:p w14:paraId="48D1CE19" w14:textId="23F808A5" w:rsidR="00F036C2" w:rsidRPr="00F036C2" w:rsidRDefault="00BB49A5" w:rsidP="00F036C2">
      <w:pPr>
        <w:rPr>
          <w:color w:val="000000"/>
          <w:szCs w:val="24"/>
        </w:rPr>
      </w:pPr>
      <w:r>
        <w:t xml:space="preserve">The traffic models adopted in the evaluation include </w:t>
      </w:r>
      <w:r w:rsidR="00CB2BFE" w:rsidRPr="0079202E">
        <w:t>Mobile Autonomous Reporting (MAR) periodic model and Network Command</w:t>
      </w:r>
      <w:r w:rsidR="00CB2BFE">
        <w:t xml:space="preserve"> (NC)</w:t>
      </w:r>
      <w:r w:rsidR="00CB2BFE" w:rsidRPr="0079202E">
        <w:t xml:space="preserve"> model</w:t>
      </w:r>
      <w:r w:rsidR="00CB2BFE">
        <w:t xml:space="preserve">. </w:t>
      </w:r>
      <w:r w:rsidR="00CB2BFE" w:rsidRPr="0079202E">
        <w:rPr>
          <w:color w:val="000000"/>
          <w:szCs w:val="24"/>
        </w:rPr>
        <w:t xml:space="preserve">The split of devices between MAR periodic and </w:t>
      </w:r>
      <w:r w:rsidR="00CB2BFE">
        <w:rPr>
          <w:color w:val="000000"/>
          <w:szCs w:val="24"/>
        </w:rPr>
        <w:t>NC is 80% for MAR</w:t>
      </w:r>
      <w:r w:rsidR="00CB2BFE" w:rsidRPr="0079202E">
        <w:rPr>
          <w:color w:val="000000"/>
          <w:szCs w:val="24"/>
        </w:rPr>
        <w:t xml:space="preserve"> and </w:t>
      </w:r>
      <w:r w:rsidR="00CB2BFE">
        <w:rPr>
          <w:color w:val="000000"/>
          <w:szCs w:val="24"/>
        </w:rPr>
        <w:t>20% for NC.</w:t>
      </w:r>
      <w:r>
        <w:rPr>
          <w:color w:val="000000"/>
          <w:szCs w:val="24"/>
        </w:rPr>
        <w:t xml:space="preserve"> </w:t>
      </w:r>
    </w:p>
    <w:p w14:paraId="5E0961B0" w14:textId="193A38EA" w:rsidR="00F036C2" w:rsidRPr="0079202E" w:rsidRDefault="00F036C2" w:rsidP="00F036C2">
      <w:r w:rsidRPr="0079202E">
        <w:t xml:space="preserve">The MAR periodic reporting traffic model is </w:t>
      </w:r>
      <w:r>
        <w:t xml:space="preserve">based on </w:t>
      </w:r>
      <w:r w:rsidR="004F7F10">
        <w:t xml:space="preserve">a </w:t>
      </w:r>
      <w:r w:rsidRPr="00F036C2">
        <w:t>Pareto distribut</w:t>
      </w:r>
      <w:r>
        <w:t xml:space="preserve">ion with shape parameter alpha of </w:t>
      </w:r>
      <w:r w:rsidRPr="00F036C2">
        <w:t xml:space="preserve"> 2.5 and minimum application payload size </w:t>
      </w:r>
      <w:r>
        <w:t xml:space="preserve">of </w:t>
      </w:r>
      <w:r w:rsidRPr="00F036C2">
        <w:t>20 bytes with a cut off of 200 bytes</w:t>
      </w:r>
      <w:r w:rsidR="004F7F10">
        <w:t>,</w:t>
      </w:r>
      <w:r w:rsidRPr="00F036C2">
        <w:t xml:space="preserve"> i.e. payloads higher than 200 bytes are assumed to be 200 bytes</w:t>
      </w:r>
      <w:r>
        <w:t>. The inter-</w:t>
      </w:r>
      <w:r w:rsidRPr="0079202E">
        <w:rPr>
          <w:color w:val="000000"/>
        </w:rPr>
        <w:t xml:space="preserve">arrival time periodicity </w:t>
      </w:r>
      <w:r>
        <w:rPr>
          <w:color w:val="000000"/>
        </w:rPr>
        <w:t>may be</w:t>
      </w:r>
      <w:r w:rsidRPr="0079202E">
        <w:rPr>
          <w:color w:val="000000"/>
        </w:rPr>
        <w:t xml:space="preserve"> 1 day (40%), 2 hours (40%), 1 hour (15%), and 30 minutes (5%)</w:t>
      </w:r>
      <w:r>
        <w:rPr>
          <w:color w:val="000000"/>
        </w:rPr>
        <w:t>.</w:t>
      </w:r>
      <w:r>
        <w:t xml:space="preserve"> </w:t>
      </w:r>
      <w:r w:rsidRPr="0079202E">
        <w:t>A DL application layer ACK for an uplink periodic reporting event is assumed in 50% of UL M</w:t>
      </w:r>
      <w:r w:rsidR="00C3078C">
        <w:t>AR periodic reports generated.</w:t>
      </w:r>
      <w:r w:rsidRPr="0079202E">
        <w:t xml:space="preserve"> The application downlink ACK payload size is assumed to be 0 bytes. The total packet size (above equivalent of SNDCP layer) is th</w:t>
      </w:r>
      <w:r>
        <w:t>e overhead due COAP/DTLS/UDP/IP</w:t>
      </w:r>
      <w:r w:rsidRPr="0079202E">
        <w:t xml:space="preserve"> and is </w:t>
      </w:r>
      <w:r w:rsidRPr="0079202E">
        <w:rPr>
          <w:rFonts w:hint="eastAsia"/>
        </w:rPr>
        <w:t>immediately sent after the base station successfully receives a</w:t>
      </w:r>
      <w:r w:rsidRPr="0079202E">
        <w:t>n</w:t>
      </w:r>
      <w:r w:rsidRPr="0079202E">
        <w:rPr>
          <w:rFonts w:hint="eastAsia"/>
        </w:rPr>
        <w:t xml:space="preserve"> </w:t>
      </w:r>
      <w:r w:rsidRPr="0079202E">
        <w:t xml:space="preserve">application </w:t>
      </w:r>
      <w:r>
        <w:rPr>
          <w:rFonts w:hint="eastAsia"/>
        </w:rPr>
        <w:t>UL packet.</w:t>
      </w:r>
    </w:p>
    <w:p w14:paraId="6F0C6028" w14:textId="3F82E8C6" w:rsidR="00F036C2" w:rsidRPr="00F036C2" w:rsidRDefault="00F036C2" w:rsidP="00CB2BFE">
      <w:r w:rsidRPr="0079202E">
        <w:t>The size of the downlink Network Command is assumed to be 20 bytes and the distribution of the periodic inter-arrival time is the</w:t>
      </w:r>
      <w:r>
        <w:t xml:space="preserve"> same as for MAR periodic model. </w:t>
      </w:r>
      <w:r w:rsidRPr="0079202E">
        <w:t>The distribution of the application payload size in response to the Network Command, where applicable, is the same as application payload size distribution of MAR periodic in Table E.2-1</w:t>
      </w:r>
      <w:r w:rsidR="00746CE9">
        <w:t xml:space="preserve"> of </w:t>
      </w:r>
      <w:r w:rsidR="00746CE9">
        <w:rPr>
          <w:lang w:val="en-US"/>
        </w:rPr>
        <w:fldChar w:fldCharType="begin"/>
      </w:r>
      <w:r w:rsidR="00746CE9">
        <w:rPr>
          <w:lang w:val="en-US"/>
        </w:rPr>
        <w:instrText xml:space="preserve"> REF _Ref434632457 \r \h </w:instrText>
      </w:r>
      <w:r w:rsidR="00746CE9">
        <w:rPr>
          <w:lang w:val="en-US"/>
        </w:rPr>
      </w:r>
      <w:r w:rsidR="00746CE9">
        <w:rPr>
          <w:lang w:val="en-US"/>
        </w:rPr>
        <w:fldChar w:fldCharType="separate"/>
      </w:r>
      <w:r w:rsidR="00240817">
        <w:rPr>
          <w:lang w:val="en-US"/>
        </w:rPr>
        <w:t>[2]</w:t>
      </w:r>
      <w:r w:rsidR="00746CE9">
        <w:rPr>
          <w:lang w:val="en-US"/>
        </w:rPr>
        <w:fldChar w:fldCharType="end"/>
      </w:r>
      <w:r w:rsidR="00746CE9">
        <w:rPr>
          <w:lang w:val="en-US"/>
        </w:rPr>
        <w:t>.</w:t>
      </w:r>
      <w:r w:rsidRPr="0079202E">
        <w:t xml:space="preserve"> </w:t>
      </w:r>
    </w:p>
    <w:p w14:paraId="41463FDD" w14:textId="403D73B2" w:rsidR="00F036C2" w:rsidRDefault="00C3078C" w:rsidP="00CB2BFE">
      <w:r>
        <w:rPr>
          <w:color w:val="000000"/>
          <w:szCs w:val="24"/>
        </w:rPr>
        <w:t xml:space="preserve">Furthermore, </w:t>
      </w:r>
      <w:r w:rsidR="004E4B0F">
        <w:rPr>
          <w:color w:val="000000"/>
          <w:szCs w:val="24"/>
        </w:rPr>
        <w:t xml:space="preserve">a </w:t>
      </w:r>
      <w:proofErr w:type="gramStart"/>
      <w:r w:rsidR="00BB49A5">
        <w:t>Gb</w:t>
      </w:r>
      <w:proofErr w:type="gramEnd"/>
      <w:r w:rsidR="00BB49A5">
        <w:t xml:space="preserve"> architecture is assumed</w:t>
      </w:r>
      <w:r w:rsidR="00F036C2">
        <w:t xml:space="preserve">. We assume </w:t>
      </w:r>
      <w:r>
        <w:t xml:space="preserve">that </w:t>
      </w:r>
      <w:r w:rsidR="00F036C2">
        <w:t>header compression is not used, and thus the protocol overhead amounts to 65 bytes.</w:t>
      </w:r>
    </w:p>
    <w:p w14:paraId="7496BEE8" w14:textId="4B802C25" w:rsidR="008B2F7C" w:rsidRDefault="00BB49A5" w:rsidP="00C557F9">
      <w:r>
        <w:t xml:space="preserve">All these simulation assumptions follow </w:t>
      </w:r>
      <w:r w:rsidRPr="00744D79">
        <w:rPr>
          <w:rFonts w:hint="eastAsia"/>
        </w:rPr>
        <w:t>sub</w:t>
      </w:r>
      <w:r w:rsidRPr="00744D79">
        <w:t>-</w:t>
      </w:r>
      <w:r w:rsidRPr="00744D79">
        <w:rPr>
          <w:rFonts w:hint="eastAsia"/>
        </w:rPr>
        <w:t>clause</w:t>
      </w:r>
      <w:r w:rsidRPr="00744D79">
        <w:t>s</w:t>
      </w:r>
      <w:r w:rsidRPr="00744D79">
        <w:rPr>
          <w:rFonts w:hint="eastAsia"/>
        </w:rPr>
        <w:t xml:space="preserve"> 5.2.2</w:t>
      </w:r>
      <w:r w:rsidR="00B67330">
        <w:t xml:space="preserve"> of </w:t>
      </w:r>
      <w:r w:rsidR="00B67330">
        <w:rPr>
          <w:lang w:val="en-US"/>
        </w:rPr>
        <w:fldChar w:fldCharType="begin"/>
      </w:r>
      <w:r w:rsidR="00B67330">
        <w:rPr>
          <w:lang w:val="en-US"/>
        </w:rPr>
        <w:instrText xml:space="preserve"> REF _Ref434632457 \r \h </w:instrText>
      </w:r>
      <w:r w:rsidR="00B67330">
        <w:rPr>
          <w:lang w:val="en-US"/>
        </w:rPr>
      </w:r>
      <w:r w:rsidR="00B67330">
        <w:rPr>
          <w:lang w:val="en-US"/>
        </w:rPr>
        <w:fldChar w:fldCharType="separate"/>
      </w:r>
      <w:r w:rsidR="00240817">
        <w:rPr>
          <w:lang w:val="en-US"/>
        </w:rPr>
        <w:t>[2]</w:t>
      </w:r>
      <w:r w:rsidR="00B67330">
        <w:rPr>
          <w:lang w:val="en-US"/>
        </w:rPr>
        <w:fldChar w:fldCharType="end"/>
      </w:r>
      <w:r w:rsidR="00B67330">
        <w:t>.</w:t>
      </w:r>
    </w:p>
    <w:p w14:paraId="0F1C4DD7" w14:textId="77777777" w:rsidR="00D53C98" w:rsidRDefault="00D53C98" w:rsidP="00D53C98">
      <w:pPr>
        <w:pStyle w:val="Heading2"/>
      </w:pPr>
      <w:r>
        <w:t>Additional simulation assumptions</w:t>
      </w:r>
    </w:p>
    <w:p w14:paraId="4BE2D8BE" w14:textId="4156D522" w:rsidR="00D53C98" w:rsidRDefault="00D53C98" w:rsidP="00D53C98">
      <w:r>
        <w:t>All the simulation assumptions relevant to system capacity analysis as described</w:t>
      </w:r>
      <w:r w:rsidR="00C94490">
        <w:t xml:space="preserve"> in </w:t>
      </w:r>
      <w:r w:rsidR="00C94490">
        <w:rPr>
          <w:lang w:val="en-US"/>
        </w:rPr>
        <w:fldChar w:fldCharType="begin"/>
      </w:r>
      <w:r w:rsidR="00C94490">
        <w:rPr>
          <w:lang w:val="en-US"/>
        </w:rPr>
        <w:instrText xml:space="preserve"> REF _Ref434632457 \r \h </w:instrText>
      </w:r>
      <w:r w:rsidR="00C94490">
        <w:rPr>
          <w:lang w:val="en-US"/>
        </w:rPr>
      </w:r>
      <w:r w:rsidR="00C94490">
        <w:rPr>
          <w:lang w:val="en-US"/>
        </w:rPr>
        <w:fldChar w:fldCharType="separate"/>
      </w:r>
      <w:r w:rsidR="00240817">
        <w:rPr>
          <w:lang w:val="en-US"/>
        </w:rPr>
        <w:t>[2]</w:t>
      </w:r>
      <w:r w:rsidR="00C94490">
        <w:rPr>
          <w:lang w:val="en-US"/>
        </w:rPr>
        <w:fldChar w:fldCharType="end"/>
      </w:r>
      <w:r w:rsidR="00C94490">
        <w:rPr>
          <w:lang w:val="en-US"/>
        </w:rPr>
        <w:t xml:space="preserve"> are </w:t>
      </w:r>
      <w:r>
        <w:t xml:space="preserve">used in our analysis. In this subsection, we list additional simulation assumptions used in our analysis. </w:t>
      </w:r>
    </w:p>
    <w:p w14:paraId="6D2090DC" w14:textId="18532AA8" w:rsidR="001857B2" w:rsidRDefault="00932F32">
      <w:r>
        <w:t xml:space="preserve">The </w:t>
      </w:r>
      <w:r w:rsidR="00D0114C">
        <w:t xml:space="preserve">DL </w:t>
      </w:r>
      <w:r>
        <w:t xml:space="preserve">MCS combinations used in the evaluation are presented in </w:t>
      </w:r>
      <w:r w:rsidR="003E6CBA">
        <w:t xml:space="preserve">Table </w:t>
      </w:r>
      <w:r w:rsidR="00D0114C">
        <w:t>1. Note that the modulation is always assumed to be QPSK</w:t>
      </w:r>
      <w:r w:rsidR="003E6CBA">
        <w:t>.</w:t>
      </w:r>
      <w:r w:rsidR="00D0114C">
        <w:t xml:space="preserve"> The </w:t>
      </w:r>
      <w:r w:rsidR="00921D0E">
        <w:t xml:space="preserve">UL </w:t>
      </w:r>
      <w:r w:rsidR="00D0114C">
        <w:t>MCS combinations used in the evaluation are presented in Table 2.</w:t>
      </w:r>
      <w:r w:rsidR="00AF2AAD">
        <w:t xml:space="preserve"> </w:t>
      </w:r>
    </w:p>
    <w:p w14:paraId="3F338808" w14:textId="04B20C96" w:rsidR="003E6CBA" w:rsidRDefault="001857B2" w:rsidP="00263018">
      <w:pPr>
        <w:pStyle w:val="Caption"/>
        <w:keepNext/>
      </w:pPr>
      <w:r w:rsidRPr="00641394">
        <w:t xml:space="preserve">Table </w:t>
      </w:r>
      <w:r>
        <w:t>1</w:t>
      </w:r>
      <w:r w:rsidRPr="00641394">
        <w:t xml:space="preserve">: </w:t>
      </w:r>
      <w:r>
        <w:t xml:space="preserve">DL </w:t>
      </w:r>
      <w:r w:rsidRPr="00641394">
        <w:t>MCS used for the evaluation</w:t>
      </w:r>
    </w:p>
    <w:tbl>
      <w:tblPr>
        <w:tblStyle w:val="TableGrid"/>
        <w:tblW w:w="8168" w:type="dxa"/>
        <w:tblInd w:w="733" w:type="dxa"/>
        <w:tblLook w:val="04A0" w:firstRow="1" w:lastRow="0" w:firstColumn="1" w:lastColumn="0" w:noHBand="0" w:noVBand="1"/>
      </w:tblPr>
      <w:tblGrid>
        <w:gridCol w:w="1428"/>
        <w:gridCol w:w="883"/>
        <w:gridCol w:w="788"/>
        <w:gridCol w:w="788"/>
        <w:gridCol w:w="788"/>
        <w:gridCol w:w="761"/>
        <w:gridCol w:w="691"/>
        <w:gridCol w:w="691"/>
        <w:gridCol w:w="656"/>
        <w:gridCol w:w="694"/>
      </w:tblGrid>
      <w:tr w:rsidR="004B4E8A" w14:paraId="5F603FEF" w14:textId="77777777" w:rsidTr="00C27ADC">
        <w:trPr>
          <w:trHeight w:val="327"/>
        </w:trPr>
        <w:tc>
          <w:tcPr>
            <w:tcW w:w="1428" w:type="dxa"/>
          </w:tcPr>
          <w:p w14:paraId="5D1ED8B1" w14:textId="77777777" w:rsidR="004B4E8A" w:rsidRDefault="004B4E8A" w:rsidP="00C27ADC">
            <w:pPr>
              <w:jc w:val="center"/>
            </w:pPr>
            <w:r>
              <w:t>Link direction</w:t>
            </w:r>
          </w:p>
        </w:tc>
        <w:tc>
          <w:tcPr>
            <w:tcW w:w="6740" w:type="dxa"/>
            <w:gridSpan w:val="9"/>
          </w:tcPr>
          <w:p w14:paraId="036BF345" w14:textId="4A024833" w:rsidR="004B4E8A" w:rsidRDefault="004B4E8A">
            <w:pPr>
              <w:jc w:val="center"/>
            </w:pPr>
            <w:r>
              <w:t>Code rate (</w:t>
            </w:r>
            <w:r w:rsidR="00482B1A">
              <w:t xml:space="preserve">with </w:t>
            </w:r>
            <w:r>
              <w:t>QPSK</w:t>
            </w:r>
            <w:r w:rsidR="00482B1A">
              <w:t xml:space="preserve"> modulation</w:t>
            </w:r>
            <w:r>
              <w:t>)</w:t>
            </w:r>
          </w:p>
        </w:tc>
      </w:tr>
      <w:tr w:rsidR="004B4E8A" w14:paraId="3E9FB7C1" w14:textId="77777777" w:rsidTr="00C27ADC">
        <w:trPr>
          <w:trHeight w:val="314"/>
        </w:trPr>
        <w:tc>
          <w:tcPr>
            <w:tcW w:w="1428" w:type="dxa"/>
          </w:tcPr>
          <w:p w14:paraId="0A819190" w14:textId="77777777" w:rsidR="004B4E8A" w:rsidRDefault="004B4E8A" w:rsidP="00C27ADC">
            <w:r>
              <w:t>Downlink</w:t>
            </w:r>
          </w:p>
        </w:tc>
        <w:tc>
          <w:tcPr>
            <w:tcW w:w="883" w:type="dxa"/>
          </w:tcPr>
          <w:p w14:paraId="27B9FDB5" w14:textId="77777777" w:rsidR="004B4E8A" w:rsidRDefault="004B4E8A" w:rsidP="00C27ADC">
            <w:r>
              <w:t>0.01</w:t>
            </w:r>
          </w:p>
        </w:tc>
        <w:tc>
          <w:tcPr>
            <w:tcW w:w="788" w:type="dxa"/>
          </w:tcPr>
          <w:p w14:paraId="2546CBAB" w14:textId="77777777" w:rsidR="004B4E8A" w:rsidRDefault="004B4E8A" w:rsidP="00C27ADC">
            <w:r>
              <w:t>0.02</w:t>
            </w:r>
          </w:p>
        </w:tc>
        <w:tc>
          <w:tcPr>
            <w:tcW w:w="788" w:type="dxa"/>
          </w:tcPr>
          <w:p w14:paraId="28001A77" w14:textId="77777777" w:rsidR="004B4E8A" w:rsidRDefault="004B4E8A" w:rsidP="00C27ADC">
            <w:r>
              <w:t>1/30</w:t>
            </w:r>
          </w:p>
        </w:tc>
        <w:tc>
          <w:tcPr>
            <w:tcW w:w="788" w:type="dxa"/>
          </w:tcPr>
          <w:p w14:paraId="27041BAD" w14:textId="77777777" w:rsidR="004B4E8A" w:rsidRDefault="004B4E8A" w:rsidP="00C27ADC">
            <w:r>
              <w:t>1/12</w:t>
            </w:r>
          </w:p>
        </w:tc>
        <w:tc>
          <w:tcPr>
            <w:tcW w:w="761" w:type="dxa"/>
          </w:tcPr>
          <w:p w14:paraId="63A68A85" w14:textId="77777777" w:rsidR="004B4E8A" w:rsidRDefault="004B4E8A" w:rsidP="00C27ADC">
            <w:r>
              <w:t>1/6</w:t>
            </w:r>
          </w:p>
        </w:tc>
        <w:tc>
          <w:tcPr>
            <w:tcW w:w="691" w:type="dxa"/>
          </w:tcPr>
          <w:p w14:paraId="071D05E2" w14:textId="77777777" w:rsidR="004B4E8A" w:rsidRDefault="004B4E8A" w:rsidP="00C27ADC">
            <w:r>
              <w:t>1/3</w:t>
            </w:r>
          </w:p>
        </w:tc>
        <w:tc>
          <w:tcPr>
            <w:tcW w:w="691" w:type="dxa"/>
          </w:tcPr>
          <w:p w14:paraId="7F776259" w14:textId="77777777" w:rsidR="004B4E8A" w:rsidRDefault="004B4E8A" w:rsidP="00C27ADC">
            <w:r>
              <w:t>1/2</w:t>
            </w:r>
          </w:p>
        </w:tc>
        <w:tc>
          <w:tcPr>
            <w:tcW w:w="656" w:type="dxa"/>
          </w:tcPr>
          <w:p w14:paraId="2204F9D4" w14:textId="77777777" w:rsidR="004B4E8A" w:rsidRDefault="004B4E8A" w:rsidP="00C27ADC">
            <w:r>
              <w:t>0.7</w:t>
            </w:r>
          </w:p>
        </w:tc>
        <w:tc>
          <w:tcPr>
            <w:tcW w:w="694" w:type="dxa"/>
          </w:tcPr>
          <w:p w14:paraId="33F0F97B" w14:textId="77777777" w:rsidR="004B4E8A" w:rsidRDefault="004B4E8A" w:rsidP="00C27ADC">
            <w:r>
              <w:t>0.93</w:t>
            </w:r>
          </w:p>
        </w:tc>
      </w:tr>
    </w:tbl>
    <w:p w14:paraId="6AADFDD6" w14:textId="77777777" w:rsidR="001857B2" w:rsidRDefault="001857B2" w:rsidP="00D77539">
      <w:pPr>
        <w:pStyle w:val="Caption"/>
      </w:pPr>
    </w:p>
    <w:p w14:paraId="5F881CFE" w14:textId="0CFCF2CC" w:rsidR="00932F32" w:rsidRPr="00641394" w:rsidRDefault="003E6CBA" w:rsidP="00D77539">
      <w:pPr>
        <w:pStyle w:val="Caption"/>
      </w:pPr>
      <w:r w:rsidRPr="00641394">
        <w:t xml:space="preserve">Table </w:t>
      </w:r>
      <w:r w:rsidR="001857B2">
        <w:t>2</w:t>
      </w:r>
      <w:r w:rsidRPr="00641394">
        <w:t xml:space="preserve">: </w:t>
      </w:r>
      <w:r w:rsidR="00B07D19">
        <w:t xml:space="preserve">UL </w:t>
      </w:r>
      <w:r w:rsidRPr="00641394">
        <w:t>MCS used for the evaluation</w:t>
      </w:r>
    </w:p>
    <w:tbl>
      <w:tblPr>
        <w:tblStyle w:val="TableGrid"/>
        <w:tblW w:w="4804" w:type="dxa"/>
        <w:jc w:val="center"/>
        <w:tblLayout w:type="fixed"/>
        <w:tblLook w:val="04A0" w:firstRow="1" w:lastRow="0" w:firstColumn="1" w:lastColumn="0" w:noHBand="0" w:noVBand="1"/>
      </w:tblPr>
      <w:tblGrid>
        <w:gridCol w:w="1200"/>
        <w:gridCol w:w="1202"/>
        <w:gridCol w:w="1200"/>
        <w:gridCol w:w="1202"/>
      </w:tblGrid>
      <w:tr w:rsidR="000E1194" w14:paraId="25CDC5FB" w14:textId="11B460FF" w:rsidTr="000E1194">
        <w:trPr>
          <w:trHeight w:val="350"/>
          <w:jc w:val="center"/>
        </w:trPr>
        <w:tc>
          <w:tcPr>
            <w:tcW w:w="2402" w:type="dxa"/>
            <w:gridSpan w:val="2"/>
          </w:tcPr>
          <w:p w14:paraId="795A68D7" w14:textId="5498B31A" w:rsidR="000E1194" w:rsidRDefault="000E1194" w:rsidP="006B2B8E">
            <w:pPr>
              <w:jc w:val="center"/>
            </w:pPr>
            <w:r>
              <w:t>SC-FDMA 2.5 kHz</w:t>
            </w:r>
          </w:p>
        </w:tc>
        <w:tc>
          <w:tcPr>
            <w:tcW w:w="2402" w:type="dxa"/>
            <w:gridSpan w:val="2"/>
          </w:tcPr>
          <w:p w14:paraId="007AE900" w14:textId="2566E418" w:rsidR="000E1194" w:rsidRDefault="000E1194" w:rsidP="00D77539">
            <w:pPr>
              <w:jc w:val="center"/>
            </w:pPr>
            <w:r>
              <w:t>FDMA with GMSK</w:t>
            </w:r>
          </w:p>
        </w:tc>
      </w:tr>
      <w:tr w:rsidR="000E1194" w14:paraId="68226D5E" w14:textId="77777777" w:rsidTr="000E1194">
        <w:trPr>
          <w:trHeight w:val="350"/>
          <w:jc w:val="center"/>
        </w:trPr>
        <w:tc>
          <w:tcPr>
            <w:tcW w:w="1200" w:type="dxa"/>
          </w:tcPr>
          <w:p w14:paraId="7398AA67" w14:textId="206410B7" w:rsidR="000E1194" w:rsidDel="0015448A" w:rsidRDefault="000E1194" w:rsidP="00D77539">
            <w:pPr>
              <w:jc w:val="center"/>
            </w:pPr>
            <w:r>
              <w:t>Modulation</w:t>
            </w:r>
          </w:p>
        </w:tc>
        <w:tc>
          <w:tcPr>
            <w:tcW w:w="1202" w:type="dxa"/>
          </w:tcPr>
          <w:p w14:paraId="42CE2FBF" w14:textId="39E203AA" w:rsidR="000E1194" w:rsidDel="0015448A" w:rsidRDefault="000E1194" w:rsidP="00D77539">
            <w:pPr>
              <w:jc w:val="center"/>
            </w:pPr>
            <w:r>
              <w:t>Code rate</w:t>
            </w:r>
          </w:p>
        </w:tc>
        <w:tc>
          <w:tcPr>
            <w:tcW w:w="1200" w:type="dxa"/>
          </w:tcPr>
          <w:p w14:paraId="429196A3" w14:textId="4D7303AC" w:rsidR="000E1194" w:rsidRDefault="000E1194" w:rsidP="00D77539">
            <w:pPr>
              <w:jc w:val="center"/>
            </w:pPr>
            <w:r>
              <w:t xml:space="preserve">Modulation </w:t>
            </w:r>
          </w:p>
        </w:tc>
        <w:tc>
          <w:tcPr>
            <w:tcW w:w="1202" w:type="dxa"/>
          </w:tcPr>
          <w:p w14:paraId="664CC248" w14:textId="5060AC3C" w:rsidR="000E1194" w:rsidRDefault="000E1194" w:rsidP="00D77539">
            <w:pPr>
              <w:jc w:val="center"/>
            </w:pPr>
            <w:r>
              <w:t>Code rate</w:t>
            </w:r>
          </w:p>
        </w:tc>
      </w:tr>
      <w:tr w:rsidR="000E1194" w14:paraId="5977F1DD" w14:textId="77777777" w:rsidTr="000E1194">
        <w:trPr>
          <w:trHeight w:val="350"/>
          <w:jc w:val="center"/>
        </w:trPr>
        <w:tc>
          <w:tcPr>
            <w:tcW w:w="1200" w:type="dxa"/>
          </w:tcPr>
          <w:p w14:paraId="263272FF" w14:textId="2F3C98B7" w:rsidR="000E1194" w:rsidDel="0015448A" w:rsidRDefault="000E1194" w:rsidP="00D77539">
            <w:pPr>
              <w:jc w:val="center"/>
            </w:pPr>
            <w:r>
              <w:t>BPSK</w:t>
            </w:r>
          </w:p>
        </w:tc>
        <w:tc>
          <w:tcPr>
            <w:tcW w:w="1202" w:type="dxa"/>
          </w:tcPr>
          <w:p w14:paraId="78725EC0" w14:textId="4BF560D0" w:rsidR="000E1194" w:rsidDel="0015448A" w:rsidRDefault="000E1194" w:rsidP="00D77539">
            <w:pPr>
              <w:jc w:val="center"/>
            </w:pPr>
            <w:r>
              <w:t>0.21</w:t>
            </w:r>
          </w:p>
        </w:tc>
        <w:tc>
          <w:tcPr>
            <w:tcW w:w="1200" w:type="dxa"/>
          </w:tcPr>
          <w:p w14:paraId="065B04F7" w14:textId="0C944A37" w:rsidR="000E1194" w:rsidRDefault="000E1194" w:rsidP="00D77539">
            <w:pPr>
              <w:jc w:val="center"/>
            </w:pPr>
            <w:r>
              <w:t>GMSK</w:t>
            </w:r>
          </w:p>
        </w:tc>
        <w:tc>
          <w:tcPr>
            <w:tcW w:w="1202" w:type="dxa"/>
          </w:tcPr>
          <w:p w14:paraId="6CDA1BC5" w14:textId="2FEFDBD9" w:rsidR="000E1194" w:rsidRDefault="000E1194" w:rsidP="00D77539">
            <w:pPr>
              <w:jc w:val="center"/>
            </w:pPr>
            <w:r>
              <w:t>0.11</w:t>
            </w:r>
          </w:p>
        </w:tc>
      </w:tr>
      <w:tr w:rsidR="000E1194" w14:paraId="296B0228" w14:textId="77777777" w:rsidTr="000E1194">
        <w:trPr>
          <w:trHeight w:val="350"/>
          <w:jc w:val="center"/>
        </w:trPr>
        <w:tc>
          <w:tcPr>
            <w:tcW w:w="1200" w:type="dxa"/>
          </w:tcPr>
          <w:p w14:paraId="315F6342" w14:textId="5089265E" w:rsidR="000E1194" w:rsidDel="0015448A" w:rsidRDefault="000E1194" w:rsidP="00D77539">
            <w:pPr>
              <w:jc w:val="center"/>
            </w:pPr>
            <w:r>
              <w:t>QPSK</w:t>
            </w:r>
          </w:p>
        </w:tc>
        <w:tc>
          <w:tcPr>
            <w:tcW w:w="1202" w:type="dxa"/>
          </w:tcPr>
          <w:p w14:paraId="336F99EB" w14:textId="1F8FF13E" w:rsidR="000E1194" w:rsidDel="0015448A" w:rsidRDefault="000E1194" w:rsidP="00D77539">
            <w:pPr>
              <w:jc w:val="center"/>
            </w:pPr>
            <w:r>
              <w:t>0.26</w:t>
            </w:r>
          </w:p>
        </w:tc>
        <w:tc>
          <w:tcPr>
            <w:tcW w:w="1200" w:type="dxa"/>
          </w:tcPr>
          <w:p w14:paraId="50DD92E3" w14:textId="59E1DB98" w:rsidR="000E1194" w:rsidRDefault="000E1194" w:rsidP="00D77539">
            <w:pPr>
              <w:jc w:val="center"/>
            </w:pPr>
            <w:r>
              <w:t>GMSK</w:t>
            </w:r>
          </w:p>
        </w:tc>
        <w:tc>
          <w:tcPr>
            <w:tcW w:w="1202" w:type="dxa"/>
          </w:tcPr>
          <w:p w14:paraId="5F58FEDB" w14:textId="48B23D8B" w:rsidR="000E1194" w:rsidRDefault="000E1194" w:rsidP="00D77539">
            <w:pPr>
              <w:jc w:val="center"/>
            </w:pPr>
            <w:r>
              <w:t>0.17</w:t>
            </w:r>
          </w:p>
        </w:tc>
      </w:tr>
      <w:tr w:rsidR="000E1194" w14:paraId="4E7FE193" w14:textId="77777777" w:rsidTr="000E1194">
        <w:trPr>
          <w:trHeight w:val="350"/>
          <w:jc w:val="center"/>
        </w:trPr>
        <w:tc>
          <w:tcPr>
            <w:tcW w:w="1200" w:type="dxa"/>
          </w:tcPr>
          <w:p w14:paraId="727B5274" w14:textId="70269DA7" w:rsidR="000E1194" w:rsidRDefault="000E1194" w:rsidP="00D77539">
            <w:pPr>
              <w:jc w:val="center"/>
            </w:pPr>
            <w:r>
              <w:t>QPSK</w:t>
            </w:r>
          </w:p>
        </w:tc>
        <w:tc>
          <w:tcPr>
            <w:tcW w:w="1202" w:type="dxa"/>
          </w:tcPr>
          <w:p w14:paraId="00172E72" w14:textId="147B1079" w:rsidR="000E1194" w:rsidDel="0015448A" w:rsidRDefault="000E1194" w:rsidP="00D77539">
            <w:pPr>
              <w:jc w:val="center"/>
            </w:pPr>
            <w:r>
              <w:t>0.33</w:t>
            </w:r>
          </w:p>
        </w:tc>
        <w:tc>
          <w:tcPr>
            <w:tcW w:w="1200" w:type="dxa"/>
          </w:tcPr>
          <w:p w14:paraId="686D168A" w14:textId="19394878" w:rsidR="000E1194" w:rsidRDefault="000E1194" w:rsidP="00D77539">
            <w:pPr>
              <w:jc w:val="center"/>
            </w:pPr>
            <w:r>
              <w:t>GMSK</w:t>
            </w:r>
          </w:p>
        </w:tc>
        <w:tc>
          <w:tcPr>
            <w:tcW w:w="1202" w:type="dxa"/>
          </w:tcPr>
          <w:p w14:paraId="3C06A97D" w14:textId="459DE23C" w:rsidR="000E1194" w:rsidRDefault="000E1194" w:rsidP="00D77539">
            <w:pPr>
              <w:jc w:val="center"/>
            </w:pPr>
            <w:r>
              <w:t>0.33</w:t>
            </w:r>
          </w:p>
        </w:tc>
      </w:tr>
      <w:tr w:rsidR="000E1194" w14:paraId="512020C0" w14:textId="77777777" w:rsidTr="000E1194">
        <w:trPr>
          <w:trHeight w:val="350"/>
          <w:jc w:val="center"/>
        </w:trPr>
        <w:tc>
          <w:tcPr>
            <w:tcW w:w="1200" w:type="dxa"/>
          </w:tcPr>
          <w:p w14:paraId="1AFDA2E4" w14:textId="5033AEB9" w:rsidR="000E1194" w:rsidRDefault="000E1194" w:rsidP="00D77539">
            <w:pPr>
              <w:jc w:val="center"/>
            </w:pPr>
            <w:r>
              <w:t>QPSK</w:t>
            </w:r>
          </w:p>
        </w:tc>
        <w:tc>
          <w:tcPr>
            <w:tcW w:w="1202" w:type="dxa"/>
          </w:tcPr>
          <w:p w14:paraId="0F5EBA2E" w14:textId="6256C2F8" w:rsidR="000E1194" w:rsidDel="0015448A" w:rsidRDefault="000E1194" w:rsidP="00D77539">
            <w:pPr>
              <w:jc w:val="center"/>
            </w:pPr>
            <w:r>
              <w:t>0.50</w:t>
            </w:r>
          </w:p>
        </w:tc>
        <w:tc>
          <w:tcPr>
            <w:tcW w:w="1200" w:type="dxa"/>
          </w:tcPr>
          <w:p w14:paraId="05C19A32" w14:textId="09892D2B" w:rsidR="000E1194" w:rsidRDefault="000E1194" w:rsidP="00D77539">
            <w:pPr>
              <w:jc w:val="center"/>
            </w:pPr>
            <w:r>
              <w:t>GMSK</w:t>
            </w:r>
          </w:p>
        </w:tc>
        <w:tc>
          <w:tcPr>
            <w:tcW w:w="1202" w:type="dxa"/>
          </w:tcPr>
          <w:p w14:paraId="6F45309A" w14:textId="6E967C5F" w:rsidR="000E1194" w:rsidRDefault="000E1194" w:rsidP="00D77539">
            <w:pPr>
              <w:jc w:val="center"/>
            </w:pPr>
            <w:r>
              <w:t>0.67</w:t>
            </w:r>
          </w:p>
        </w:tc>
      </w:tr>
      <w:tr w:rsidR="000E1194" w14:paraId="0FA33BB2" w14:textId="77777777" w:rsidTr="000E1194">
        <w:trPr>
          <w:trHeight w:val="350"/>
          <w:jc w:val="center"/>
        </w:trPr>
        <w:tc>
          <w:tcPr>
            <w:tcW w:w="1200" w:type="dxa"/>
          </w:tcPr>
          <w:p w14:paraId="57A19F20" w14:textId="2D77A737" w:rsidR="000E1194" w:rsidRDefault="000E1194" w:rsidP="00D77539">
            <w:pPr>
              <w:jc w:val="center"/>
            </w:pPr>
            <w:r>
              <w:t>QPSK</w:t>
            </w:r>
          </w:p>
        </w:tc>
        <w:tc>
          <w:tcPr>
            <w:tcW w:w="1202" w:type="dxa"/>
          </w:tcPr>
          <w:p w14:paraId="6E626CBC" w14:textId="358283B4" w:rsidR="000E1194" w:rsidRDefault="000E1194" w:rsidP="00D77539">
            <w:pPr>
              <w:jc w:val="center"/>
            </w:pPr>
            <w:r>
              <w:t>0.67</w:t>
            </w:r>
          </w:p>
        </w:tc>
        <w:tc>
          <w:tcPr>
            <w:tcW w:w="1200" w:type="dxa"/>
          </w:tcPr>
          <w:p w14:paraId="49CBF95A" w14:textId="6063E54B" w:rsidR="000E1194" w:rsidRDefault="000E1194" w:rsidP="00D77539">
            <w:pPr>
              <w:jc w:val="center"/>
            </w:pPr>
            <w:r>
              <w:t>GMSK</w:t>
            </w:r>
          </w:p>
        </w:tc>
        <w:tc>
          <w:tcPr>
            <w:tcW w:w="1202" w:type="dxa"/>
          </w:tcPr>
          <w:p w14:paraId="3129D6C6" w14:textId="73606082" w:rsidR="000E1194" w:rsidRDefault="000E1194" w:rsidP="00D77539">
            <w:pPr>
              <w:jc w:val="center"/>
            </w:pPr>
            <w:r>
              <w:t>0.93</w:t>
            </w:r>
          </w:p>
        </w:tc>
      </w:tr>
      <w:tr w:rsidR="000E1194" w14:paraId="3411E47F" w14:textId="77777777" w:rsidTr="000E1194">
        <w:trPr>
          <w:trHeight w:val="350"/>
          <w:jc w:val="center"/>
        </w:trPr>
        <w:tc>
          <w:tcPr>
            <w:tcW w:w="1200" w:type="dxa"/>
          </w:tcPr>
          <w:p w14:paraId="0435C9E6" w14:textId="6B036189" w:rsidR="000E1194" w:rsidRDefault="000E1194" w:rsidP="00D77539">
            <w:pPr>
              <w:jc w:val="center"/>
            </w:pPr>
            <w:r>
              <w:t>QPSK</w:t>
            </w:r>
          </w:p>
        </w:tc>
        <w:tc>
          <w:tcPr>
            <w:tcW w:w="1202" w:type="dxa"/>
          </w:tcPr>
          <w:p w14:paraId="1E8F32CE" w14:textId="7BC1BA1B" w:rsidR="000E1194" w:rsidRDefault="000E1194" w:rsidP="00D77539">
            <w:pPr>
              <w:jc w:val="center"/>
            </w:pPr>
            <w:r>
              <w:t>0.93</w:t>
            </w:r>
          </w:p>
        </w:tc>
        <w:tc>
          <w:tcPr>
            <w:tcW w:w="1200" w:type="dxa"/>
          </w:tcPr>
          <w:p w14:paraId="3D1F0342" w14:textId="74AFF621" w:rsidR="000E1194" w:rsidRDefault="000E1194" w:rsidP="00D77539">
            <w:pPr>
              <w:jc w:val="center"/>
            </w:pPr>
          </w:p>
        </w:tc>
        <w:tc>
          <w:tcPr>
            <w:tcW w:w="1202" w:type="dxa"/>
          </w:tcPr>
          <w:p w14:paraId="69CCDDF4" w14:textId="1D8244F4" w:rsidR="000E1194" w:rsidRDefault="000E1194" w:rsidP="00D77539">
            <w:pPr>
              <w:jc w:val="center"/>
            </w:pPr>
          </w:p>
        </w:tc>
      </w:tr>
    </w:tbl>
    <w:p w14:paraId="707C9526" w14:textId="77777777" w:rsidR="00932F32" w:rsidRDefault="00932F32" w:rsidP="00D53C98"/>
    <w:p w14:paraId="7A3716A1" w14:textId="2967F9AC" w:rsidR="007B796E" w:rsidRDefault="007B796E" w:rsidP="007B796E">
      <w:r>
        <w:t>The link-to-system (L2S) model</w:t>
      </w:r>
      <w:r w:rsidR="00F22F58">
        <w:t>s for the uplink</w:t>
      </w:r>
      <w:r>
        <w:t xml:space="preserve"> are based </w:t>
      </w:r>
      <w:r w:rsidR="00AC220E">
        <w:t xml:space="preserve">directly </w:t>
      </w:r>
      <w:r>
        <w:t xml:space="preserve">on </w:t>
      </w:r>
      <w:r w:rsidR="00F22F58">
        <w:t xml:space="preserve">the </w:t>
      </w:r>
      <w:r>
        <w:t xml:space="preserve">link-level simulation results </w:t>
      </w:r>
      <w:r w:rsidR="00F22F58">
        <w:t xml:space="preserve">in </w:t>
      </w:r>
      <w:r w:rsidR="00F22F58">
        <w:fldChar w:fldCharType="begin"/>
      </w:r>
      <w:r w:rsidR="00F22F58">
        <w:instrText xml:space="preserve"> REF _Ref434618857 \h </w:instrText>
      </w:r>
      <w:r w:rsidR="00F22F58">
        <w:fldChar w:fldCharType="separate"/>
      </w:r>
      <w:r w:rsidR="00240817">
        <w:t xml:space="preserve">Figure </w:t>
      </w:r>
      <w:r w:rsidR="00240817">
        <w:rPr>
          <w:noProof/>
        </w:rPr>
        <w:t>2</w:t>
      </w:r>
      <w:r w:rsidR="00F22F58">
        <w:fldChar w:fldCharType="end"/>
      </w:r>
      <w:r w:rsidR="000E1194">
        <w:t xml:space="preserve"> and</w:t>
      </w:r>
      <w:r w:rsidR="00F22F58">
        <w:t xml:space="preserve"> </w:t>
      </w:r>
      <w:r w:rsidR="00F22F58">
        <w:fldChar w:fldCharType="begin"/>
      </w:r>
      <w:r w:rsidR="00F22F58">
        <w:instrText xml:space="preserve"> REF _Ref434618859 \h </w:instrText>
      </w:r>
      <w:r w:rsidR="00F22F58">
        <w:fldChar w:fldCharType="separate"/>
      </w:r>
      <w:r w:rsidR="00240817">
        <w:t xml:space="preserve">Figure </w:t>
      </w:r>
      <w:r w:rsidR="00240817">
        <w:rPr>
          <w:noProof/>
        </w:rPr>
        <w:t>3</w:t>
      </w:r>
      <w:r w:rsidR="00F22F58">
        <w:fldChar w:fldCharType="end"/>
      </w:r>
      <w:r w:rsidR="00F22F58">
        <w:t xml:space="preserve">. The GMSK results in </w:t>
      </w:r>
      <w:r w:rsidR="00F22F58">
        <w:fldChar w:fldCharType="begin"/>
      </w:r>
      <w:r w:rsidR="00F22F58">
        <w:instrText xml:space="preserve"> REF _Ref434618859 \h </w:instrText>
      </w:r>
      <w:r w:rsidR="00F22F58">
        <w:fldChar w:fldCharType="separate"/>
      </w:r>
      <w:r w:rsidR="00240817">
        <w:t xml:space="preserve">Figure </w:t>
      </w:r>
      <w:r w:rsidR="00240817">
        <w:rPr>
          <w:noProof/>
        </w:rPr>
        <w:t>3</w:t>
      </w:r>
      <w:r w:rsidR="00F22F58">
        <w:fldChar w:fldCharType="end"/>
      </w:r>
      <w:r w:rsidR="00F22F58">
        <w:t xml:space="preserve"> are very similar to the results presented in</w:t>
      </w:r>
      <w:r w:rsidR="00DD013F">
        <w:t xml:space="preserve"> </w:t>
      </w:r>
      <w:r w:rsidR="00DD013F">
        <w:rPr>
          <w:lang w:val="en-US"/>
        </w:rPr>
        <w:fldChar w:fldCharType="begin"/>
      </w:r>
      <w:r w:rsidR="00DD013F">
        <w:rPr>
          <w:lang w:val="en-US"/>
        </w:rPr>
        <w:instrText xml:space="preserve"> REF _Ref434632457 \r \h </w:instrText>
      </w:r>
      <w:r w:rsidR="00DD013F">
        <w:rPr>
          <w:lang w:val="en-US"/>
        </w:rPr>
      </w:r>
      <w:r w:rsidR="00DD013F">
        <w:rPr>
          <w:lang w:val="en-US"/>
        </w:rPr>
        <w:fldChar w:fldCharType="separate"/>
      </w:r>
      <w:r w:rsidR="00240817">
        <w:rPr>
          <w:lang w:val="en-US"/>
        </w:rPr>
        <w:t>[2]</w:t>
      </w:r>
      <w:r w:rsidR="00DD013F">
        <w:rPr>
          <w:lang w:val="en-US"/>
        </w:rPr>
        <w:fldChar w:fldCharType="end"/>
      </w:r>
      <w:r>
        <w:t>.</w:t>
      </w:r>
      <w:r w:rsidR="00F22F58">
        <w:t xml:space="preserve"> </w:t>
      </w:r>
      <w:r w:rsidR="00AC220E">
        <w:t>For example, a</w:t>
      </w:r>
      <w:r w:rsidR="00AC220E" w:rsidRPr="00AC220E">
        <w:t>ccording to Table 7.3.6.1.5-5</w:t>
      </w:r>
      <w:r w:rsidR="00E26FCF">
        <w:t xml:space="preserve"> in </w:t>
      </w:r>
      <w:r w:rsidR="00E26FCF">
        <w:rPr>
          <w:lang w:val="en-US"/>
        </w:rPr>
        <w:fldChar w:fldCharType="begin"/>
      </w:r>
      <w:r w:rsidR="00E26FCF">
        <w:rPr>
          <w:lang w:val="en-US"/>
        </w:rPr>
        <w:instrText xml:space="preserve"> REF _Ref434632457 \r \h </w:instrText>
      </w:r>
      <w:r w:rsidR="00E26FCF">
        <w:rPr>
          <w:lang w:val="en-US"/>
        </w:rPr>
      </w:r>
      <w:r w:rsidR="00E26FCF">
        <w:rPr>
          <w:lang w:val="en-US"/>
        </w:rPr>
        <w:fldChar w:fldCharType="separate"/>
      </w:r>
      <w:r w:rsidR="00240817">
        <w:rPr>
          <w:lang w:val="en-US"/>
        </w:rPr>
        <w:t>[2]</w:t>
      </w:r>
      <w:r w:rsidR="00E26FCF">
        <w:rPr>
          <w:lang w:val="en-US"/>
        </w:rPr>
        <w:fldChar w:fldCharType="end"/>
      </w:r>
      <w:r w:rsidR="00AC220E" w:rsidRPr="00AC220E">
        <w:t>, at 154 dB coupling loss (i.e. SNR=4.3 dB, bonding factor 1) the BLER of 105-byte data is 8%. In </w:t>
      </w:r>
      <w:r w:rsidR="00AC220E">
        <w:fldChar w:fldCharType="begin"/>
      </w:r>
      <w:r w:rsidR="00AC220E">
        <w:instrText xml:space="preserve"> REF _Ref434618859 \h </w:instrText>
      </w:r>
      <w:r w:rsidR="00AC220E">
        <w:fldChar w:fldCharType="separate"/>
      </w:r>
      <w:r w:rsidR="00240817">
        <w:t xml:space="preserve">Figure </w:t>
      </w:r>
      <w:r w:rsidR="00240817">
        <w:rPr>
          <w:noProof/>
        </w:rPr>
        <w:t>3</w:t>
      </w:r>
      <w:r w:rsidR="00AC220E">
        <w:fldChar w:fldCharType="end"/>
      </w:r>
      <w:r w:rsidR="00AC220E">
        <w:t xml:space="preserve">, </w:t>
      </w:r>
      <w:r w:rsidR="00AC220E" w:rsidRPr="00AC220E">
        <w:t>the BLER at 4.3 dB SNR is 7.5%. </w:t>
      </w:r>
    </w:p>
    <w:p w14:paraId="01FD64D1" w14:textId="77777777" w:rsidR="00D2175A" w:rsidRDefault="00D2175A" w:rsidP="007B796E"/>
    <w:p w14:paraId="71116084" w14:textId="35761754" w:rsidR="00D2175A" w:rsidRDefault="00D2175A" w:rsidP="00263018">
      <w:pPr>
        <w:jc w:val="center"/>
      </w:pPr>
      <w:r>
        <w:rPr>
          <w:noProof/>
          <w:lang w:val="sv-SE"/>
        </w:rPr>
        <w:drawing>
          <wp:inline distT="0" distB="0" distL="0" distR="0" wp14:anchorId="058C5FBA" wp14:editId="0E69D300">
            <wp:extent cx="3549600" cy="2660400"/>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9600" cy="2660400"/>
                    </a:xfrm>
                    <a:prstGeom prst="rect">
                      <a:avLst/>
                    </a:prstGeom>
                    <a:noFill/>
                    <a:ln>
                      <a:noFill/>
                    </a:ln>
                  </pic:spPr>
                </pic:pic>
              </a:graphicData>
            </a:graphic>
          </wp:inline>
        </w:drawing>
      </w:r>
    </w:p>
    <w:p w14:paraId="32EA2E97" w14:textId="0D4BF687" w:rsidR="002C318A" w:rsidRDefault="002C318A" w:rsidP="002C318A">
      <w:pPr>
        <w:pStyle w:val="Caption"/>
      </w:pPr>
      <w:bookmarkStart w:id="2" w:name="_Ref434618857"/>
      <w:r>
        <w:t xml:space="preserve">Figure </w:t>
      </w:r>
      <w:r>
        <w:fldChar w:fldCharType="begin"/>
      </w:r>
      <w:r>
        <w:instrText xml:space="preserve"> SEQ Figure \* ARABIC </w:instrText>
      </w:r>
      <w:r>
        <w:fldChar w:fldCharType="separate"/>
      </w:r>
      <w:r w:rsidR="00240817">
        <w:rPr>
          <w:noProof/>
        </w:rPr>
        <w:t>2</w:t>
      </w:r>
      <w:r>
        <w:rPr>
          <w:noProof/>
        </w:rPr>
        <w:fldChar w:fldCharType="end"/>
      </w:r>
      <w:bookmarkEnd w:id="2"/>
      <w:r>
        <w:t xml:space="preserve">: Uplink </w:t>
      </w:r>
      <w:r w:rsidR="00AC220E">
        <w:t>link results for SC-FDMA single subcarrier transmission, used as the L2S model</w:t>
      </w:r>
    </w:p>
    <w:p w14:paraId="71C536A4" w14:textId="77777777" w:rsidR="00B5190C" w:rsidRDefault="00B5190C" w:rsidP="007B796E"/>
    <w:p w14:paraId="35CE2292" w14:textId="77777777" w:rsidR="00B5190C" w:rsidRDefault="00B5190C" w:rsidP="007B796E"/>
    <w:p w14:paraId="0A3ED84D" w14:textId="7DD67C78" w:rsidR="00795571" w:rsidRDefault="00795571" w:rsidP="007B796E"/>
    <w:p w14:paraId="40111195" w14:textId="77777777" w:rsidR="00B5190C" w:rsidRDefault="00B5190C" w:rsidP="007B796E"/>
    <w:p w14:paraId="69DC5319" w14:textId="77777777" w:rsidR="00B5190C" w:rsidRDefault="00B5190C" w:rsidP="007B796E"/>
    <w:p w14:paraId="446CDB58" w14:textId="23629F56" w:rsidR="00B5190C" w:rsidRDefault="00B5190C" w:rsidP="00263018">
      <w:pPr>
        <w:jc w:val="center"/>
      </w:pPr>
      <w:r>
        <w:rPr>
          <w:noProof/>
          <w:lang w:val="sv-SE"/>
        </w:rPr>
        <w:lastRenderedPageBreak/>
        <w:drawing>
          <wp:inline distT="0" distB="0" distL="0" distR="0" wp14:anchorId="66A25D2B" wp14:editId="19877D16">
            <wp:extent cx="3549600" cy="2660400"/>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9600" cy="2660400"/>
                    </a:xfrm>
                    <a:prstGeom prst="rect">
                      <a:avLst/>
                    </a:prstGeom>
                    <a:noFill/>
                    <a:ln>
                      <a:noFill/>
                    </a:ln>
                  </pic:spPr>
                </pic:pic>
              </a:graphicData>
            </a:graphic>
          </wp:inline>
        </w:drawing>
      </w:r>
    </w:p>
    <w:p w14:paraId="7B0F87C0" w14:textId="6DDFFB6E" w:rsidR="002C318A" w:rsidRDefault="002C318A" w:rsidP="002C318A">
      <w:pPr>
        <w:pStyle w:val="Caption"/>
      </w:pPr>
      <w:bookmarkStart w:id="3" w:name="_Ref434618859"/>
      <w:r>
        <w:t xml:space="preserve">Figure </w:t>
      </w:r>
      <w:r>
        <w:fldChar w:fldCharType="begin"/>
      </w:r>
      <w:r>
        <w:instrText xml:space="preserve"> SEQ Figure \* ARABIC </w:instrText>
      </w:r>
      <w:r>
        <w:fldChar w:fldCharType="separate"/>
      </w:r>
      <w:r w:rsidR="00240817">
        <w:rPr>
          <w:noProof/>
        </w:rPr>
        <w:t>3</w:t>
      </w:r>
      <w:r>
        <w:rPr>
          <w:noProof/>
        </w:rPr>
        <w:fldChar w:fldCharType="end"/>
      </w:r>
      <w:bookmarkEnd w:id="3"/>
      <w:r>
        <w:t xml:space="preserve">: Uplink </w:t>
      </w:r>
      <w:r w:rsidR="00AC220E">
        <w:t>link results for FDMA transmission without bonding and with GMSK, used as the L2S model</w:t>
      </w:r>
    </w:p>
    <w:p w14:paraId="4029747F" w14:textId="790133C5" w:rsidR="00215E69" w:rsidRDefault="00215E69" w:rsidP="00215E69">
      <w:r>
        <w:t>The link-to-system (L2S) models</w:t>
      </w:r>
      <w:r w:rsidR="00D01745">
        <w:t xml:space="preserve"> for the downlink evaluations</w:t>
      </w:r>
      <w:r>
        <w:t xml:space="preserve"> are calibrated based on link-level simulation results included</w:t>
      </w:r>
      <w:r w:rsidR="00E7710F">
        <w:t xml:space="preserve"> in </w:t>
      </w:r>
      <w:r w:rsidR="00E7710F">
        <w:rPr>
          <w:lang w:val="en-US"/>
        </w:rPr>
        <w:fldChar w:fldCharType="begin"/>
      </w:r>
      <w:r w:rsidR="00E7710F">
        <w:rPr>
          <w:lang w:val="en-US"/>
        </w:rPr>
        <w:instrText xml:space="preserve"> REF _Ref434632457 \r \h </w:instrText>
      </w:r>
      <w:r w:rsidR="00E7710F">
        <w:rPr>
          <w:lang w:val="en-US"/>
        </w:rPr>
      </w:r>
      <w:r w:rsidR="00E7710F">
        <w:rPr>
          <w:lang w:val="en-US"/>
        </w:rPr>
        <w:fldChar w:fldCharType="separate"/>
      </w:r>
      <w:r w:rsidR="00240817">
        <w:rPr>
          <w:lang w:val="en-US"/>
        </w:rPr>
        <w:t>[2]</w:t>
      </w:r>
      <w:r w:rsidR="00E7710F">
        <w:rPr>
          <w:lang w:val="en-US"/>
        </w:rPr>
        <w:fldChar w:fldCharType="end"/>
      </w:r>
      <w:r>
        <w:t xml:space="preserve"> for UEs who need 164 dB coupling loss, and</w:t>
      </w:r>
      <w:r w:rsidR="00D2488F">
        <w:t xml:space="preserve"> </w:t>
      </w:r>
      <w:r w:rsidR="00D2488F">
        <w:fldChar w:fldCharType="begin"/>
      </w:r>
      <w:r w:rsidR="00D2488F">
        <w:instrText xml:space="preserve"> REF _Ref434632666 \r \h </w:instrText>
      </w:r>
      <w:r w:rsidR="00D2488F">
        <w:fldChar w:fldCharType="separate"/>
      </w:r>
      <w:r w:rsidR="00240817">
        <w:t>[3]</w:t>
      </w:r>
      <w:r w:rsidR="00D2488F">
        <w:fldChar w:fldCharType="end"/>
      </w:r>
      <w:r w:rsidR="00D2488F">
        <w:t xml:space="preserve"> </w:t>
      </w:r>
      <w:r>
        <w:t xml:space="preserve">for UEs who need 144 dB and 154 dB coupling loss. The L2S model used in the system-level simulations is compared to link simulation results in </w:t>
      </w:r>
      <w:r w:rsidR="00AC220E">
        <w:fldChar w:fldCharType="begin"/>
      </w:r>
      <w:r w:rsidR="00AC220E">
        <w:instrText xml:space="preserve"> REF _Ref434619793 \h </w:instrText>
      </w:r>
      <w:r w:rsidR="00AC220E">
        <w:fldChar w:fldCharType="separate"/>
      </w:r>
      <w:r w:rsidR="00240817">
        <w:t xml:space="preserve">Figure </w:t>
      </w:r>
      <w:r w:rsidR="00240817">
        <w:rPr>
          <w:noProof/>
        </w:rPr>
        <w:t>4</w:t>
      </w:r>
      <w:r w:rsidR="00AC220E">
        <w:fldChar w:fldCharType="end"/>
      </w:r>
      <w:r w:rsidR="00AC220E">
        <w:t xml:space="preserve"> </w:t>
      </w:r>
      <w:r>
        <w:t xml:space="preserve">for </w:t>
      </w:r>
      <w:r w:rsidR="00AC220E">
        <w:t xml:space="preserve">the </w:t>
      </w:r>
      <w:r>
        <w:t xml:space="preserve">downlink. </w:t>
      </w:r>
      <w:r w:rsidR="00850158">
        <w:t>T</w:t>
      </w:r>
      <w:r>
        <w:t xml:space="preserve">he L2S model matches link simulation results almost perfectly. </w:t>
      </w:r>
    </w:p>
    <w:p w14:paraId="11670501" w14:textId="77777777" w:rsidR="00215E69" w:rsidRDefault="00215E69" w:rsidP="00215E69">
      <w:r w:rsidRPr="00E32074">
        <w:rPr>
          <w:noProof/>
          <w:lang w:val="sv-SE"/>
        </w:rPr>
        <w:drawing>
          <wp:inline distT="0" distB="0" distL="0" distR="0" wp14:anchorId="4D146F95" wp14:editId="240996D9">
            <wp:extent cx="6115050" cy="26144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614456"/>
                    </a:xfrm>
                    <a:prstGeom prst="rect">
                      <a:avLst/>
                    </a:prstGeom>
                    <a:noFill/>
                    <a:ln>
                      <a:noFill/>
                    </a:ln>
                  </pic:spPr>
                </pic:pic>
              </a:graphicData>
            </a:graphic>
          </wp:inline>
        </w:drawing>
      </w:r>
    </w:p>
    <w:p w14:paraId="3837BB2D" w14:textId="7A76D101" w:rsidR="00215E69" w:rsidRDefault="00215E69" w:rsidP="00215E69">
      <w:pPr>
        <w:pStyle w:val="Caption"/>
      </w:pPr>
      <w:bookmarkStart w:id="4" w:name="_Ref434619793"/>
      <w:r>
        <w:t xml:space="preserve">Figure </w:t>
      </w:r>
      <w:r>
        <w:fldChar w:fldCharType="begin"/>
      </w:r>
      <w:r>
        <w:instrText xml:space="preserve"> SEQ Figure \* ARABIC </w:instrText>
      </w:r>
      <w:r>
        <w:fldChar w:fldCharType="separate"/>
      </w:r>
      <w:r w:rsidR="00240817">
        <w:rPr>
          <w:noProof/>
        </w:rPr>
        <w:t>4</w:t>
      </w:r>
      <w:r>
        <w:fldChar w:fldCharType="end"/>
      </w:r>
      <w:bookmarkEnd w:id="4"/>
      <w:r>
        <w:t>: Comparison of L2S model and actual link simulation results (DL).</w:t>
      </w:r>
    </w:p>
    <w:p w14:paraId="0CF8E19E" w14:textId="2BA80554" w:rsidR="00AC220E" w:rsidRDefault="00AC220E" w:rsidP="00AC220E">
      <w:r>
        <w:t xml:space="preserve">Imperfect link adaptation is assumed for both uplink and downlink, and we model the link adaption error as a normally distributed random variable, which has zero mean and </w:t>
      </w:r>
      <w:r w:rsidRPr="005A624C">
        <w:t>3dB</w:t>
      </w:r>
      <w:r>
        <w:t xml:space="preserve"> standard deviation. This error term</w:t>
      </w:r>
      <w:r w:rsidRPr="005A624C">
        <w:t xml:space="preserve"> is added to the true SINR before selecting MCS.</w:t>
      </w:r>
      <w:r>
        <w:t xml:space="preserve"> The MCS is selected that would give the highest data rate, assuming the SINR estimate is correct.</w:t>
      </w:r>
      <w:r w:rsidR="0054338F">
        <w:t xml:space="preserve"> An SNR of 0 dB is targeted in the uplink open loop power control, as a baseline. </w:t>
      </w:r>
    </w:p>
    <w:p w14:paraId="09BC0DD5" w14:textId="64F047A8" w:rsidR="00AC220E" w:rsidRDefault="00AC220E" w:rsidP="00AC220E">
      <w:r>
        <w:t>For uplink we assume</w:t>
      </w:r>
      <w:r w:rsidR="000A6388">
        <w:t xml:space="preserve"> 28.6% </w:t>
      </w:r>
      <w:r w:rsidRPr="000A6388">
        <w:t>overhead</w:t>
      </w:r>
      <w:r>
        <w:t xml:space="preserve"> for random access, control channels and reference symbols, and thus</w:t>
      </w:r>
      <w:r w:rsidR="000A6388">
        <w:t xml:space="preserve"> 71.4%</w:t>
      </w:r>
      <w:r>
        <w:t xml:space="preserve"> </w:t>
      </w:r>
      <w:r w:rsidR="000A6388">
        <w:t xml:space="preserve">of the radio </w:t>
      </w:r>
      <w:r>
        <w:t xml:space="preserve">resources </w:t>
      </w:r>
      <w:r w:rsidR="000A6388">
        <w:t xml:space="preserve">can be </w:t>
      </w:r>
      <w:r>
        <w:t xml:space="preserve">used for data symbols for M-PUSCH. </w:t>
      </w:r>
    </w:p>
    <w:p w14:paraId="0E6B4B1F" w14:textId="7EA876FA" w:rsidR="00AC220E" w:rsidRDefault="00AC220E" w:rsidP="00AC220E">
      <w:r>
        <w:t xml:space="preserve">There is also an inherent additional overhead with the FDMA option, since it is designed with 5 kHz subcarrier spacing and a symbol rate of 3.75 kHz. Thus, FDMA only supports 0.75 symbols per hertz. The SC-FDMA option, on the other hand, supports 0.933 symbols per hertz (with cyclic prefix overhead of 1/15, 7%). That FDMA supports 20% fewer symbols per time-frequency resource is </w:t>
      </w:r>
      <w:r w:rsidR="00604C1F">
        <w:t>reflected in the simulations</w:t>
      </w:r>
      <w:r>
        <w:t>.</w:t>
      </w:r>
    </w:p>
    <w:p w14:paraId="6D07D67F" w14:textId="704757BA" w:rsidR="00AC220E" w:rsidRDefault="00AC220E" w:rsidP="00AC220E">
      <w:r>
        <w:t>For downlink, we assume</w:t>
      </w:r>
      <w:r w:rsidR="000A6388">
        <w:t xml:space="preserve"> 24.6% </w:t>
      </w:r>
      <w:r>
        <w:t>for reference symbols, common channels, and control channels. Thu</w:t>
      </w:r>
      <w:r w:rsidR="000A6388">
        <w:t xml:space="preserve">s, 75.4% of the </w:t>
      </w:r>
      <w:r>
        <w:t xml:space="preserve">total resource elements </w:t>
      </w:r>
      <w:r w:rsidR="007852F3">
        <w:t xml:space="preserve">can be </w:t>
      </w:r>
      <w:r>
        <w:t xml:space="preserve">used for data symbols for M-PDSCH. </w:t>
      </w:r>
    </w:p>
    <w:p w14:paraId="34225B9C" w14:textId="05848101" w:rsidR="00EA1675" w:rsidRDefault="00EA1675" w:rsidP="00EA1675">
      <w:pPr>
        <w:pStyle w:val="Heading1"/>
      </w:pPr>
      <w:r>
        <w:lastRenderedPageBreak/>
        <w:t>Simulation results</w:t>
      </w:r>
    </w:p>
    <w:p w14:paraId="13CFB15B" w14:textId="21D3BF43" w:rsidR="00E17520" w:rsidRDefault="00E17520" w:rsidP="00263018">
      <w:pPr>
        <w:pStyle w:val="Heading2"/>
      </w:pPr>
      <w:r>
        <w:t>Uplink capacity</w:t>
      </w:r>
    </w:p>
    <w:p w14:paraId="2CCC91F5" w14:textId="6549E3A4" w:rsidR="000E1194" w:rsidRDefault="00C3078C" w:rsidP="00EA1675">
      <w:pPr>
        <w:spacing w:before="120"/>
      </w:pPr>
      <w:r>
        <w:t xml:space="preserve">System-level simulations are used to analyse the achievable system capacity. </w:t>
      </w:r>
      <w:r w:rsidR="00AC49FD">
        <w:t>Uplink c</w:t>
      </w:r>
      <w:r w:rsidR="00EA1675" w:rsidRPr="006F3EE5">
        <w:rPr>
          <w:rFonts w:hint="eastAsia"/>
        </w:rPr>
        <w:t>apacity results are shown in</w:t>
      </w:r>
      <w:r w:rsidR="00594C0E">
        <w:t xml:space="preserve"> </w:t>
      </w:r>
      <w:r w:rsidR="00594C0E">
        <w:fldChar w:fldCharType="begin"/>
      </w:r>
      <w:r w:rsidR="00594C0E">
        <w:instrText xml:space="preserve"> REF _Ref429234139 \h </w:instrText>
      </w:r>
      <w:r w:rsidR="00594C0E">
        <w:fldChar w:fldCharType="separate"/>
      </w:r>
      <w:r w:rsidR="00240817">
        <w:t xml:space="preserve">Figure </w:t>
      </w:r>
      <w:r w:rsidR="00240817">
        <w:rPr>
          <w:noProof/>
        </w:rPr>
        <w:t>5</w:t>
      </w:r>
      <w:r w:rsidR="00594C0E">
        <w:fldChar w:fldCharType="end"/>
      </w:r>
      <w:r w:rsidR="00EA1675" w:rsidRPr="006F3EE5">
        <w:t xml:space="preserve">. </w:t>
      </w:r>
      <w:r w:rsidR="00EA1675" w:rsidRPr="006F3EE5">
        <w:rPr>
          <w:rFonts w:hint="eastAsia"/>
        </w:rPr>
        <w:t xml:space="preserve">The </w:t>
      </w:r>
      <w:r w:rsidR="00FB55B9">
        <w:t>vertical black</w:t>
      </w:r>
      <w:r w:rsidR="00EA1675" w:rsidRPr="006F3EE5">
        <w:t xml:space="preserve"> line represents the target </w:t>
      </w:r>
      <w:r w:rsidR="00EA1675" w:rsidRPr="006F3EE5">
        <w:rPr>
          <w:rFonts w:hint="eastAsia"/>
        </w:rPr>
        <w:t>n</w:t>
      </w:r>
      <w:r w:rsidR="00EA1675" w:rsidRPr="006F3EE5">
        <w:t>umber of devices within a sector</w:t>
      </w:r>
      <w:r w:rsidR="00EA1675" w:rsidRPr="006F3EE5">
        <w:rPr>
          <w:rFonts w:hint="eastAsia"/>
        </w:rPr>
        <w:t xml:space="preserve"> </w:t>
      </w:r>
      <w:r w:rsidR="00EA1675" w:rsidRPr="006F3EE5">
        <w:t>taken from</w:t>
      </w:r>
      <w:r w:rsidR="00EA1675" w:rsidRPr="006F3EE5">
        <w:rPr>
          <w:rFonts w:hint="eastAsia"/>
        </w:rPr>
        <w:t xml:space="preserve"> Table E.1-1</w:t>
      </w:r>
      <w:r w:rsidR="00546F3A">
        <w:t xml:space="preserve"> in </w:t>
      </w:r>
      <w:r w:rsidR="00546F3A">
        <w:rPr>
          <w:lang w:val="en-US"/>
        </w:rPr>
        <w:fldChar w:fldCharType="begin"/>
      </w:r>
      <w:r w:rsidR="00546F3A">
        <w:rPr>
          <w:lang w:val="en-US"/>
        </w:rPr>
        <w:instrText xml:space="preserve"> REF _Ref434632457 \r \h </w:instrText>
      </w:r>
      <w:r w:rsidR="00546F3A">
        <w:rPr>
          <w:lang w:val="en-US"/>
        </w:rPr>
      </w:r>
      <w:r w:rsidR="00546F3A">
        <w:rPr>
          <w:lang w:val="en-US"/>
        </w:rPr>
        <w:fldChar w:fldCharType="separate"/>
      </w:r>
      <w:r w:rsidR="00240817">
        <w:rPr>
          <w:lang w:val="en-US"/>
        </w:rPr>
        <w:t>[2]</w:t>
      </w:r>
      <w:r w:rsidR="00546F3A">
        <w:rPr>
          <w:lang w:val="en-US"/>
        </w:rPr>
        <w:fldChar w:fldCharType="end"/>
      </w:r>
      <w:r w:rsidR="00546F3A">
        <w:rPr>
          <w:lang w:val="en-US"/>
        </w:rPr>
        <w:t xml:space="preserve">. It </w:t>
      </w:r>
      <w:r w:rsidR="002F4BED">
        <w:t xml:space="preserve">can be seen </w:t>
      </w:r>
      <w:r w:rsidR="00946B13">
        <w:t xml:space="preserve">that </w:t>
      </w:r>
      <w:r w:rsidR="00EC5812">
        <w:t xml:space="preserve">both UL options meet the capacity target with reuse 1, but </w:t>
      </w:r>
      <w:r w:rsidR="000A19A8">
        <w:t xml:space="preserve">SC-FDMA </w:t>
      </w:r>
      <w:r w:rsidR="00EC5812">
        <w:t>by far outperforms FDMA with GMSK.</w:t>
      </w:r>
      <w:r w:rsidR="00BB300B">
        <w:t xml:space="preserve"> </w:t>
      </w:r>
    </w:p>
    <w:p w14:paraId="65AA64E7" w14:textId="46C19D28" w:rsidR="00AA4E46" w:rsidRDefault="000E1194" w:rsidP="00EA1675">
      <w:pPr>
        <w:spacing w:before="120"/>
      </w:pPr>
      <w:r>
        <w:t xml:space="preserve">In </w:t>
      </w:r>
      <w:r>
        <w:fldChar w:fldCharType="begin"/>
      </w:r>
      <w:r>
        <w:instrText xml:space="preserve"> REF _Ref434630457 \h </w:instrText>
      </w:r>
      <w:r>
        <w:fldChar w:fldCharType="separate"/>
      </w:r>
      <w:r w:rsidR="00240817">
        <w:t xml:space="preserve">Figure </w:t>
      </w:r>
      <w:r w:rsidR="00240817">
        <w:rPr>
          <w:noProof/>
        </w:rPr>
        <w:t>6</w:t>
      </w:r>
      <w:r>
        <w:fldChar w:fldCharType="end"/>
      </w:r>
      <w:r w:rsidR="00AA4E46">
        <w:t xml:space="preserve"> we see how the user throughput for the worst percentile users varies with traffic load. We see that GMSK with reuse 1 can handle about </w:t>
      </w:r>
      <w:r w:rsidR="0090496D">
        <w:t>99</w:t>
      </w:r>
      <w:r w:rsidR="00AA4E46">
        <w:t>,000 devices per cell</w:t>
      </w:r>
      <w:r w:rsidR="0090496D">
        <w:t xml:space="preserve"> with the 5 kHz subcarrier spacing, and 109,000 devices per cell with 2.5 kHz subcarrier spacing</w:t>
      </w:r>
      <w:r w:rsidR="00AA4E46">
        <w:t>, while SC-FDMA handles almost the double, 207,000 devices per cell.</w:t>
      </w:r>
      <w:r w:rsidR="0090496D">
        <w:t xml:space="preserve"> We see that the reduction in subcarrier spacing for DMA with GMSK from 5 kHz to 2.5 kHz has very minor performance advantage, and the SC-FDMA capacity is almost double that of GMSK. </w:t>
      </w:r>
    </w:p>
    <w:p w14:paraId="0A79911D" w14:textId="2116334C" w:rsidR="00AA4E46" w:rsidRDefault="00AA4E46" w:rsidP="00EA1675">
      <w:pPr>
        <w:spacing w:before="120"/>
      </w:pPr>
      <w:r w:rsidRPr="00AA4E46">
        <w:rPr>
          <w:b/>
        </w:rPr>
        <w:t>Observation:</w:t>
      </w:r>
      <w:r>
        <w:t xml:space="preserve"> SC-FDMA has about twice the capacity compared to GMSK for the same frequency reuse factor.</w:t>
      </w:r>
    </w:p>
    <w:p w14:paraId="5B37DAC7" w14:textId="731D2523" w:rsidR="00314D55" w:rsidRDefault="00314D55" w:rsidP="00314D55">
      <w:pPr>
        <w:pStyle w:val="BodyText"/>
      </w:pPr>
      <w:r>
        <w:rPr>
          <w:b/>
        </w:rPr>
        <w:t>Observation</w:t>
      </w:r>
      <w:r w:rsidRPr="00263018">
        <w:rPr>
          <w:b/>
        </w:rPr>
        <w:t>:</w:t>
      </w:r>
      <w:r>
        <w:t xml:space="preserve"> The capacity of 2.5 kHz FDMA with GMSK is very similar to the capacity with 5 kHz FDMA with GMSK. </w:t>
      </w:r>
    </w:p>
    <w:p w14:paraId="013B4E4F" w14:textId="77777777" w:rsidR="00314D55" w:rsidRDefault="00314D55" w:rsidP="00EA1675">
      <w:pPr>
        <w:spacing w:before="120"/>
      </w:pPr>
    </w:p>
    <w:p w14:paraId="20E18217" w14:textId="0505E1EC" w:rsidR="002257C9" w:rsidRDefault="00357AEF" w:rsidP="000E1194">
      <w:pPr>
        <w:spacing w:before="120"/>
        <w:jc w:val="center"/>
      </w:pPr>
      <w:bookmarkStart w:id="5" w:name="_Ref412710916"/>
      <w:r>
        <w:rPr>
          <w:noProof/>
          <w:lang w:val="sv-SE"/>
        </w:rPr>
        <w:drawing>
          <wp:inline distT="0" distB="0" distL="0" distR="0" wp14:anchorId="5204056A" wp14:editId="4DB8DA7F">
            <wp:extent cx="4258800" cy="319320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4F3CC592" w14:textId="2322A190" w:rsidR="00EA1675" w:rsidRDefault="002257C9" w:rsidP="002257C9">
      <w:pPr>
        <w:pStyle w:val="Caption"/>
      </w:pPr>
      <w:bookmarkStart w:id="6" w:name="_Ref429234139"/>
      <w:bookmarkEnd w:id="5"/>
      <w:r>
        <w:t xml:space="preserve">Figure </w:t>
      </w:r>
      <w:r>
        <w:fldChar w:fldCharType="begin"/>
      </w:r>
      <w:r>
        <w:instrText xml:space="preserve"> SEQ Figure \* ARABIC </w:instrText>
      </w:r>
      <w:r>
        <w:fldChar w:fldCharType="separate"/>
      </w:r>
      <w:r w:rsidR="00240817">
        <w:rPr>
          <w:noProof/>
        </w:rPr>
        <w:t>5</w:t>
      </w:r>
      <w:r>
        <w:fldChar w:fldCharType="end"/>
      </w:r>
      <w:bookmarkEnd w:id="6"/>
      <w:r>
        <w:t xml:space="preserve">: </w:t>
      </w:r>
      <w:r w:rsidR="001F2CDA">
        <w:t xml:space="preserve">Comparison between </w:t>
      </w:r>
      <w:r w:rsidR="0044350C">
        <w:t>SC-FDMA and FDMA+GMSK</w:t>
      </w:r>
      <w:r w:rsidR="001F2CDA">
        <w:t xml:space="preserve"> </w:t>
      </w:r>
      <w:r w:rsidR="003F76F6">
        <w:t>uplink c</w:t>
      </w:r>
      <w:r w:rsidRPr="00315C48">
        <w:rPr>
          <w:rFonts w:hint="eastAsia"/>
        </w:rPr>
        <w:t xml:space="preserve">apacity (in </w:t>
      </w:r>
      <w:r w:rsidR="000E1194">
        <w:t>#messages</w:t>
      </w:r>
      <w:r w:rsidRPr="00315C48">
        <w:rPr>
          <w:rFonts w:hint="eastAsia"/>
        </w:rPr>
        <w:t>/hour)</w:t>
      </w:r>
      <w:r>
        <w:t>, based on scena</w:t>
      </w:r>
      <w:r w:rsidR="000E1194">
        <w:t xml:space="preserve">rio 2 with 0.75 BPL </w:t>
      </w:r>
      <w:proofErr w:type="gramStart"/>
      <w:r w:rsidR="000E1194">
        <w:t>correlation</w:t>
      </w:r>
      <w:proofErr w:type="gramEnd"/>
    </w:p>
    <w:p w14:paraId="1E2B3F97" w14:textId="77777777" w:rsidR="000A19A8" w:rsidRDefault="000A19A8" w:rsidP="003F76F6"/>
    <w:p w14:paraId="7C3335D4" w14:textId="49185B30" w:rsidR="000A19A8" w:rsidRDefault="00357AEF" w:rsidP="00263018">
      <w:pPr>
        <w:jc w:val="center"/>
      </w:pPr>
      <w:r>
        <w:rPr>
          <w:noProof/>
          <w:lang w:val="sv-SE"/>
        </w:rPr>
        <w:lastRenderedPageBreak/>
        <w:drawing>
          <wp:inline distT="0" distB="0" distL="0" distR="0" wp14:anchorId="491961A7" wp14:editId="466F1914">
            <wp:extent cx="4258800" cy="31932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6E2AEFD3" w14:textId="7163E531" w:rsidR="00812C47" w:rsidRDefault="00812C47" w:rsidP="00812C47">
      <w:pPr>
        <w:pStyle w:val="Caption"/>
      </w:pPr>
      <w:bookmarkStart w:id="7" w:name="_Ref434630457"/>
      <w:r>
        <w:t xml:space="preserve">Figure </w:t>
      </w:r>
      <w:r>
        <w:fldChar w:fldCharType="begin"/>
      </w:r>
      <w:r>
        <w:instrText xml:space="preserve"> SEQ Figure \* ARABIC </w:instrText>
      </w:r>
      <w:r>
        <w:fldChar w:fldCharType="separate"/>
      </w:r>
      <w:r w:rsidR="00240817">
        <w:rPr>
          <w:noProof/>
        </w:rPr>
        <w:t>6</w:t>
      </w:r>
      <w:r>
        <w:fldChar w:fldCharType="end"/>
      </w:r>
      <w:bookmarkEnd w:id="7"/>
      <w:r>
        <w:t>: Comparison between SC-FDMA and FDMA+GMSK uplink c</w:t>
      </w:r>
      <w:r w:rsidRPr="00315C48">
        <w:rPr>
          <w:rFonts w:hint="eastAsia"/>
        </w:rPr>
        <w:t>apacity (</w:t>
      </w:r>
      <w:r>
        <w:t>worst percentile user throughput</w:t>
      </w:r>
      <w:r w:rsidRPr="00315C48">
        <w:rPr>
          <w:rFonts w:hint="eastAsia"/>
        </w:rPr>
        <w:t>)</w:t>
      </w:r>
      <w:r>
        <w:t xml:space="preserve">, based on scenario 2 with 0.75 BPL </w:t>
      </w:r>
      <w:proofErr w:type="gramStart"/>
      <w:r>
        <w:t>correlation</w:t>
      </w:r>
      <w:proofErr w:type="gramEnd"/>
    </w:p>
    <w:p w14:paraId="151B4160" w14:textId="19790B0C" w:rsidR="0090496D" w:rsidRDefault="00B1708F" w:rsidP="0090496D">
      <w:r>
        <w:fldChar w:fldCharType="begin"/>
      </w:r>
      <w:r>
        <w:instrText xml:space="preserve"> REF _Ref435558650 \h </w:instrText>
      </w:r>
      <w:r>
        <w:fldChar w:fldCharType="separate"/>
      </w:r>
      <w:r w:rsidR="00240817">
        <w:t xml:space="preserve">Figure </w:t>
      </w:r>
      <w:r w:rsidR="00240817">
        <w:rPr>
          <w:noProof/>
        </w:rPr>
        <w:t>7</w:t>
      </w:r>
      <w:r>
        <w:fldChar w:fldCharType="end"/>
      </w:r>
      <w:r>
        <w:t xml:space="preserve"> </w:t>
      </w:r>
      <w:r w:rsidR="0090496D" w:rsidRPr="00B1708F">
        <w:t>shows the uplink report failure probability for increasing traffic load. We see that for the same probability level the capacity with SC-FDMA is roughly twice as high as with GMSK. For example, at 0.2% probability, 104,000 devices per cell can be supported with GMSK, while SC-FDMA supports 204,000 devices per cell.</w:t>
      </w:r>
    </w:p>
    <w:p w14:paraId="4B464B14" w14:textId="77777777" w:rsidR="0090496D" w:rsidRDefault="0090496D" w:rsidP="00357AEF"/>
    <w:p w14:paraId="2DF6D650" w14:textId="26193F17" w:rsidR="00357AEF" w:rsidRDefault="00357AEF" w:rsidP="00357AEF">
      <w:pPr>
        <w:jc w:val="center"/>
      </w:pPr>
      <w:r>
        <w:rPr>
          <w:noProof/>
          <w:lang w:val="sv-SE"/>
        </w:rPr>
        <w:drawing>
          <wp:inline distT="0" distB="0" distL="0" distR="0" wp14:anchorId="01F0D202" wp14:editId="31960D2E">
            <wp:extent cx="4258800" cy="319320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718889BC" w14:textId="76F002FE" w:rsidR="00357AEF" w:rsidRDefault="00357AEF" w:rsidP="00357AEF">
      <w:pPr>
        <w:pStyle w:val="Caption"/>
      </w:pPr>
      <w:bookmarkStart w:id="8" w:name="_Ref435558644"/>
      <w:bookmarkStart w:id="9" w:name="_Ref435558650"/>
      <w:r>
        <w:t xml:space="preserve">Figure </w:t>
      </w:r>
      <w:r>
        <w:fldChar w:fldCharType="begin"/>
      </w:r>
      <w:r>
        <w:instrText xml:space="preserve"> SEQ Figure \* ARABIC </w:instrText>
      </w:r>
      <w:r>
        <w:fldChar w:fldCharType="separate"/>
      </w:r>
      <w:r w:rsidR="00240817">
        <w:rPr>
          <w:noProof/>
        </w:rPr>
        <w:t>7</w:t>
      </w:r>
      <w:r>
        <w:fldChar w:fldCharType="end"/>
      </w:r>
      <w:bookmarkEnd w:id="9"/>
      <w:r>
        <w:t xml:space="preserve">: </w:t>
      </w:r>
      <w:r w:rsidRPr="008F7A98">
        <w:t xml:space="preserve">UL MAR failure probability, based on scenario 2 with 0.75 BPL </w:t>
      </w:r>
      <w:proofErr w:type="gramStart"/>
      <w:r w:rsidRPr="008F7A98">
        <w:t>correlation</w:t>
      </w:r>
      <w:proofErr w:type="gramEnd"/>
      <w:r w:rsidRPr="008F7A98">
        <w:t>. (Failure event defined as deli</w:t>
      </w:r>
      <w:r>
        <w:t>very time exceeding 30 seconds.)</w:t>
      </w:r>
      <w:bookmarkEnd w:id="8"/>
    </w:p>
    <w:p w14:paraId="3BAE6F76" w14:textId="77777777" w:rsidR="00357AEF" w:rsidRPr="00357AEF" w:rsidRDefault="00357AEF" w:rsidP="00357AEF"/>
    <w:p w14:paraId="316043A9" w14:textId="62D499C2" w:rsidR="00A36084" w:rsidRDefault="00A36084" w:rsidP="00A36084">
      <w:pPr>
        <w:spacing w:before="120"/>
      </w:pPr>
      <w:r>
        <w:t>As we have seen, fundamentally, the SC-FDMA uplink is much more spectrally efficient than the FDMA+GMSK uplink. One reason is the difference in symbols per time-frequency resource, noted above. Another reason is that GMSK limits the performance by allowing only 1 bit per symbol.</w:t>
      </w:r>
      <w:r w:rsidR="00552C7B">
        <w:t xml:space="preserve"> In </w:t>
      </w:r>
      <w:r w:rsidR="00552C7B">
        <w:rPr>
          <w:lang w:val="en-US"/>
        </w:rPr>
        <w:fldChar w:fldCharType="begin"/>
      </w:r>
      <w:r w:rsidR="00552C7B">
        <w:rPr>
          <w:lang w:val="en-US"/>
        </w:rPr>
        <w:instrText xml:space="preserve"> REF _Ref434632457 \r \h </w:instrText>
      </w:r>
      <w:r w:rsidR="00552C7B">
        <w:rPr>
          <w:lang w:val="en-US"/>
        </w:rPr>
      </w:r>
      <w:r w:rsidR="00552C7B">
        <w:rPr>
          <w:lang w:val="en-US"/>
        </w:rPr>
        <w:fldChar w:fldCharType="separate"/>
      </w:r>
      <w:r w:rsidR="00240817">
        <w:rPr>
          <w:lang w:val="en-US"/>
        </w:rPr>
        <w:t>[2]</w:t>
      </w:r>
      <w:r w:rsidR="00552C7B">
        <w:rPr>
          <w:lang w:val="en-US"/>
        </w:rPr>
        <w:fldChar w:fldCharType="end"/>
      </w:r>
      <w:r w:rsidR="00552C7B">
        <w:t xml:space="preserve">, </w:t>
      </w:r>
      <w:r>
        <w:t xml:space="preserve">the maximum </w:t>
      </w:r>
      <w:r>
        <w:lastRenderedPageBreak/>
        <w:t xml:space="preserve">code rate for the FDMA+GMSK design is 2/3. Here we adjust that to 0.93, to make a fair comparison to the SC-FDMA option that supports 0.93 code rate, as in LTE. </w:t>
      </w:r>
    </w:p>
    <w:p w14:paraId="55107E50" w14:textId="77777777" w:rsidR="00A36084" w:rsidRDefault="00A36084" w:rsidP="00A36084">
      <w:pPr>
        <w:spacing w:before="120"/>
      </w:pPr>
      <w:r>
        <w:t xml:space="preserve">SC-FDMA supports 0.933 symbols per hertz with a 7% cyclic prefix. With 1/7 reference symbol overhead, QPSK modulation, and coding rate 0.93, that results in a maximum spectral efficiency of 1.49 bps/Hz.  </w:t>
      </w:r>
    </w:p>
    <w:p w14:paraId="3AAFF263" w14:textId="1C5D1FA6" w:rsidR="00F84D93" w:rsidRDefault="00A36084" w:rsidP="00A36084">
      <w:pPr>
        <w:spacing w:before="120"/>
      </w:pPr>
      <w:r w:rsidRPr="00240817">
        <w:t xml:space="preserve">The maximal spectral efficiency for </w:t>
      </w:r>
      <w:r w:rsidR="00604C1F" w:rsidRPr="00240817">
        <w:t xml:space="preserve">the FDMA with GMSK </w:t>
      </w:r>
      <w:r w:rsidRPr="00240817">
        <w:t xml:space="preserve">uplink </w:t>
      </w:r>
      <w:r w:rsidR="00604C1F" w:rsidRPr="00240817">
        <w:t xml:space="preserve">option </w:t>
      </w:r>
      <w:r w:rsidRPr="00240817">
        <w:t xml:space="preserve">before accounting for frequency reuse is </w:t>
      </w:r>
      <w:proofErr w:type="gramStart"/>
      <w:r w:rsidRPr="00240817">
        <w:t>0.37 bps/Hz</w:t>
      </w:r>
      <w:proofErr w:type="gramEnd"/>
      <w:r w:rsidRPr="00240817">
        <w:t>.</w:t>
      </w:r>
      <w:r>
        <w:t xml:space="preserve"> </w:t>
      </w:r>
      <w:bookmarkStart w:id="10" w:name="_GoBack"/>
      <w:bookmarkEnd w:id="10"/>
      <w:r>
        <w:t>This is calculated based on Table 7.3.3.1-2</w:t>
      </w:r>
      <w:r w:rsidR="004265C7">
        <w:t xml:space="preserve"> in </w:t>
      </w:r>
      <w:r w:rsidR="004265C7">
        <w:rPr>
          <w:lang w:val="en-US"/>
        </w:rPr>
        <w:fldChar w:fldCharType="begin"/>
      </w:r>
      <w:r w:rsidR="004265C7">
        <w:rPr>
          <w:lang w:val="en-US"/>
        </w:rPr>
        <w:instrText xml:space="preserve"> REF _Ref434632457 \r \h </w:instrText>
      </w:r>
      <w:r w:rsidR="004265C7">
        <w:rPr>
          <w:lang w:val="en-US"/>
        </w:rPr>
      </w:r>
      <w:r w:rsidR="004265C7">
        <w:rPr>
          <w:lang w:val="en-US"/>
        </w:rPr>
        <w:fldChar w:fldCharType="separate"/>
      </w:r>
      <w:r w:rsidR="00240817">
        <w:rPr>
          <w:lang w:val="en-US"/>
        </w:rPr>
        <w:t>[2]</w:t>
      </w:r>
      <w:r w:rsidR="004265C7">
        <w:rPr>
          <w:lang w:val="en-US"/>
        </w:rPr>
        <w:fldChar w:fldCharType="end"/>
      </w:r>
      <w:r w:rsidR="004265C7">
        <w:t xml:space="preserve">, </w:t>
      </w:r>
      <w:r>
        <w:t>according to which</w:t>
      </w:r>
      <w:r w:rsidRPr="00C300BF">
        <w:t xml:space="preserve"> </w:t>
      </w:r>
      <w:r>
        <w:t>GMSK modulation</w:t>
      </w:r>
      <w:r w:rsidRPr="00C300BF">
        <w:t xml:space="preserve"> </w:t>
      </w:r>
      <w:r>
        <w:t xml:space="preserve">achieves 1.83 kbps per 5 kHz bandwidth or </w:t>
      </w:r>
      <w:r w:rsidRPr="00C300BF">
        <w:t>14.7 kbps over 40 kHz</w:t>
      </w:r>
      <w:r>
        <w:t xml:space="preserve"> (bonding factor 8)</w:t>
      </w:r>
      <w:r w:rsidRPr="00C300BF">
        <w:t>, and consequently a maximum spectral efficiency of 0.37 bps/Hz.</w:t>
      </w:r>
      <w:r>
        <w:t xml:space="preserve"> </w:t>
      </w:r>
      <w:r w:rsidR="00F84D93">
        <w:t xml:space="preserve">With the </w:t>
      </w:r>
      <w:r w:rsidR="00423A13">
        <w:t xml:space="preserve">FDMA </w:t>
      </w:r>
      <w:r w:rsidR="00F84D93">
        <w:t xml:space="preserve">design </w:t>
      </w:r>
      <w:r w:rsidR="00423A13">
        <w:t xml:space="preserve">update </w:t>
      </w:r>
      <w:r w:rsidR="00F84D93">
        <w:t xml:space="preserve">in </w:t>
      </w:r>
      <w:r w:rsidR="00423A13">
        <w:fldChar w:fldCharType="begin"/>
      </w:r>
      <w:r w:rsidR="00423A13">
        <w:instrText xml:space="preserve"> REF _Ref435549082 \r \h </w:instrText>
      </w:r>
      <w:r w:rsidR="00423A13">
        <w:fldChar w:fldCharType="separate"/>
      </w:r>
      <w:r w:rsidR="00240817">
        <w:t>[5]</w:t>
      </w:r>
      <w:r w:rsidR="00423A13">
        <w:fldChar w:fldCharType="end"/>
      </w:r>
      <w:r w:rsidR="00423A13">
        <w:t xml:space="preserve"> both the subcarrier spacing and the symbol rate is reduced by half, to 2.5 kHz and </w:t>
      </w:r>
      <w:proofErr w:type="gramStart"/>
      <w:r w:rsidR="00423A13">
        <w:t xml:space="preserve">1.875 </w:t>
      </w:r>
      <w:proofErr w:type="spellStart"/>
      <w:r w:rsidR="00423A13">
        <w:t>ksymbols</w:t>
      </w:r>
      <w:proofErr w:type="spellEnd"/>
      <w:r w:rsidR="00423A13">
        <w:t>/s, respectively</w:t>
      </w:r>
      <w:proofErr w:type="gramEnd"/>
      <w:r w:rsidR="00423A13">
        <w:t xml:space="preserve">. Thus, the relationship between data rate and bandwidth stays the same, and FDMA with GMSK is limited </w:t>
      </w:r>
      <w:proofErr w:type="gramStart"/>
      <w:r w:rsidR="00423A13">
        <w:t>to 0.37 bps/Hz also for the 2.5 kHz subcarrier spacing option</w:t>
      </w:r>
      <w:proofErr w:type="gramEnd"/>
      <w:r w:rsidR="00423A13">
        <w:t xml:space="preserve">. </w:t>
      </w:r>
    </w:p>
    <w:p w14:paraId="74CAADAF" w14:textId="0AF2A56C" w:rsidR="00A36084" w:rsidRDefault="00A36084" w:rsidP="00A36084">
      <w:pPr>
        <w:spacing w:before="120"/>
      </w:pPr>
      <w:r>
        <w:t xml:space="preserve">We adjust this number by assuming 0.93 as the maximum code rate instead of 2/3, and arrive at a spectral efficiency </w:t>
      </w:r>
      <w:proofErr w:type="gramStart"/>
      <w:r>
        <w:t>of 0.51 bps/Hz</w:t>
      </w:r>
      <w:proofErr w:type="gramEnd"/>
      <w:r>
        <w:t>. The spectral efficiency comparison is summarized in Table 2.</w:t>
      </w:r>
    </w:p>
    <w:p w14:paraId="1E75FEA0" w14:textId="77777777" w:rsidR="00A36084" w:rsidRDefault="00A36084" w:rsidP="00A36084">
      <w:pPr>
        <w:pStyle w:val="Caption"/>
        <w:keepNext/>
      </w:pPr>
      <w:r>
        <w:t>Table 2: Maximum uplink spectral efficiency</w:t>
      </w:r>
    </w:p>
    <w:tbl>
      <w:tblPr>
        <w:tblStyle w:val="TableGrid"/>
        <w:tblW w:w="0" w:type="auto"/>
        <w:tblInd w:w="2373" w:type="dxa"/>
        <w:tblLook w:val="04A0" w:firstRow="1" w:lastRow="0" w:firstColumn="1" w:lastColumn="0" w:noHBand="0" w:noVBand="1"/>
      </w:tblPr>
      <w:tblGrid>
        <w:gridCol w:w="2442"/>
        <w:gridCol w:w="2443"/>
      </w:tblGrid>
      <w:tr w:rsidR="00A36084" w14:paraId="71E1F187" w14:textId="77777777" w:rsidTr="0004221B">
        <w:tc>
          <w:tcPr>
            <w:tcW w:w="4885" w:type="dxa"/>
            <w:gridSpan w:val="2"/>
          </w:tcPr>
          <w:p w14:paraId="2FB5F0C1" w14:textId="77777777" w:rsidR="00A36084" w:rsidRDefault="00A36084" w:rsidP="0004221B">
            <w:pPr>
              <w:keepNext/>
              <w:spacing w:before="120"/>
              <w:jc w:val="center"/>
            </w:pPr>
            <w:r>
              <w:t>Maximum UL spectral efficiency assuming max code rate of 0.93 [bps/Hz]</w:t>
            </w:r>
          </w:p>
        </w:tc>
      </w:tr>
      <w:tr w:rsidR="00A36084" w14:paraId="7D460D45" w14:textId="77777777" w:rsidTr="0004221B">
        <w:tc>
          <w:tcPr>
            <w:tcW w:w="2442" w:type="dxa"/>
          </w:tcPr>
          <w:p w14:paraId="03FBCAF2" w14:textId="77777777" w:rsidR="00A36084" w:rsidRDefault="00A36084" w:rsidP="0004221B">
            <w:pPr>
              <w:keepNext/>
              <w:spacing w:before="120"/>
              <w:jc w:val="center"/>
            </w:pPr>
            <w:r>
              <w:t>SC-FDMA</w:t>
            </w:r>
          </w:p>
        </w:tc>
        <w:tc>
          <w:tcPr>
            <w:tcW w:w="2443" w:type="dxa"/>
          </w:tcPr>
          <w:p w14:paraId="6DA565FA" w14:textId="77777777" w:rsidR="00A36084" w:rsidRDefault="00A36084" w:rsidP="0004221B">
            <w:pPr>
              <w:keepNext/>
              <w:spacing w:before="120"/>
              <w:jc w:val="center"/>
            </w:pPr>
            <w:r>
              <w:t>FDMA with GMSK</w:t>
            </w:r>
          </w:p>
        </w:tc>
      </w:tr>
      <w:tr w:rsidR="00A36084" w14:paraId="4359BB33" w14:textId="77777777" w:rsidTr="0004221B">
        <w:tc>
          <w:tcPr>
            <w:tcW w:w="2442" w:type="dxa"/>
          </w:tcPr>
          <w:p w14:paraId="03780E06" w14:textId="77777777" w:rsidR="00A36084" w:rsidRDefault="00A36084" w:rsidP="0004221B">
            <w:pPr>
              <w:spacing w:before="120"/>
              <w:jc w:val="center"/>
            </w:pPr>
            <w:r>
              <w:t>1.49</w:t>
            </w:r>
          </w:p>
        </w:tc>
        <w:tc>
          <w:tcPr>
            <w:tcW w:w="2443" w:type="dxa"/>
          </w:tcPr>
          <w:p w14:paraId="2FBEBCB2" w14:textId="77777777" w:rsidR="00A36084" w:rsidRDefault="00A36084" w:rsidP="0004221B">
            <w:pPr>
              <w:spacing w:before="120"/>
              <w:jc w:val="center"/>
            </w:pPr>
            <w:r>
              <w:t>0.51</w:t>
            </w:r>
          </w:p>
        </w:tc>
      </w:tr>
    </w:tbl>
    <w:p w14:paraId="646F78C1" w14:textId="77777777" w:rsidR="00A36084" w:rsidRDefault="00A36084" w:rsidP="00A36084">
      <w:pPr>
        <w:spacing w:before="120"/>
      </w:pPr>
    </w:p>
    <w:p w14:paraId="23786D2A" w14:textId="77777777" w:rsidR="00A36084" w:rsidRDefault="00A36084" w:rsidP="00A36084">
      <w:pPr>
        <w:spacing w:before="120"/>
      </w:pPr>
      <w:r>
        <w:t>Thus, based on the same frequency reuse factor, SC-FDMA has much higher maximum spectral efficiency than FDMA with GMSK. There are many UEs in the system that are in a coverage location where they can have high SINR and these UEs benefit from a much more spectrally efficient design.</w:t>
      </w:r>
    </w:p>
    <w:p w14:paraId="5E00B10F" w14:textId="39FBEBB9" w:rsidR="00A36084" w:rsidRDefault="00A36084" w:rsidP="00A36084">
      <w:pPr>
        <w:spacing w:before="120"/>
      </w:pPr>
      <w:r w:rsidRPr="00A36084">
        <w:rPr>
          <w:b/>
        </w:rPr>
        <w:t>Observation:</w:t>
      </w:r>
      <w:r>
        <w:t xml:space="preserve"> SC-FDMA has </w:t>
      </w:r>
      <w:r w:rsidR="00135A5F">
        <w:t>3 times higher maximum spectral efficiency</w:t>
      </w:r>
      <w:r>
        <w:t>, which translates into a capacity advantage.</w:t>
      </w:r>
    </w:p>
    <w:p w14:paraId="3B93E6F7" w14:textId="77777777" w:rsidR="00423A13" w:rsidRDefault="00423A13" w:rsidP="00A36084">
      <w:pPr>
        <w:spacing w:before="120"/>
      </w:pPr>
    </w:p>
    <w:p w14:paraId="5EF8A05F" w14:textId="465245C3" w:rsidR="00A3545B" w:rsidRDefault="00C54213" w:rsidP="00A3545B">
      <w:pPr>
        <w:pStyle w:val="Heading3"/>
      </w:pPr>
      <w:r>
        <w:t>PA back-</w:t>
      </w:r>
      <w:r w:rsidR="00A3545B">
        <w:t>off for multi-tone transmissions</w:t>
      </w:r>
    </w:p>
    <w:p w14:paraId="7DCD5366" w14:textId="5BDBF03C" w:rsidR="00A3545B" w:rsidRDefault="00A3545B" w:rsidP="00A3545B">
      <w:r>
        <w:t xml:space="preserve">In </w:t>
      </w:r>
      <w:r w:rsidR="00F3647D">
        <w:fldChar w:fldCharType="begin"/>
      </w:r>
      <w:r w:rsidR="00F3647D">
        <w:instrText xml:space="preserve"> REF _Ref435193821 \r \h </w:instrText>
      </w:r>
      <w:r w:rsidR="00F3647D">
        <w:fldChar w:fldCharType="separate"/>
      </w:r>
      <w:r w:rsidR="00240817">
        <w:t>[4]</w:t>
      </w:r>
      <w:r w:rsidR="00F3647D">
        <w:fldChar w:fldCharType="end"/>
      </w:r>
      <w:r w:rsidR="00F3647D">
        <w:t xml:space="preserve"> </w:t>
      </w:r>
      <w:r>
        <w:t xml:space="preserve">the relative cubic metric of SC-FDMA compared to GMSK is presented, and this </w:t>
      </w:r>
      <w:r w:rsidR="00867A39">
        <w:t xml:space="preserve">metric </w:t>
      </w:r>
      <w:r>
        <w:t>can be seen as</w:t>
      </w:r>
      <w:r w:rsidR="00867A39">
        <w:t xml:space="preserve"> the </w:t>
      </w:r>
      <w:r w:rsidR="00A1344A">
        <w:t xml:space="preserve">PA </w:t>
      </w:r>
      <w:r w:rsidR="00867A39">
        <w:t>back-</w:t>
      </w:r>
      <w:r>
        <w:t xml:space="preserve">off that </w:t>
      </w:r>
      <w:r w:rsidR="00A1344A">
        <w:t xml:space="preserve">could be used to support </w:t>
      </w:r>
      <w:r>
        <w:t xml:space="preserve">multi-tone transmissions. </w:t>
      </w:r>
      <w:r w:rsidR="000670A5">
        <w:t xml:space="preserve">In this section, the </w:t>
      </w:r>
      <w:r>
        <w:t>uplink capacity with</w:t>
      </w:r>
      <w:r w:rsidR="00A1344A">
        <w:t xml:space="preserve"> and without an additional PA back-</w:t>
      </w:r>
      <w:r>
        <w:t>of</w:t>
      </w:r>
      <w:r w:rsidR="000670A5">
        <w:t>f</w:t>
      </w:r>
      <w:r>
        <w:t xml:space="preserve"> in the PA </w:t>
      </w:r>
      <w:r w:rsidR="000670A5">
        <w:t xml:space="preserve">is </w:t>
      </w:r>
      <w:r>
        <w:t xml:space="preserve">presented. The back off is based on the results in </w:t>
      </w:r>
      <w:r w:rsidR="00F3647D">
        <w:fldChar w:fldCharType="begin"/>
      </w:r>
      <w:r w:rsidR="00F3647D">
        <w:instrText xml:space="preserve"> REF _Ref435193821 \r \h </w:instrText>
      </w:r>
      <w:r w:rsidR="00F3647D">
        <w:fldChar w:fldCharType="separate"/>
      </w:r>
      <w:r w:rsidR="00240817">
        <w:t>[4]</w:t>
      </w:r>
      <w:r w:rsidR="00F3647D">
        <w:fldChar w:fldCharType="end"/>
      </w:r>
      <w:r w:rsidR="00F3647D">
        <w:t xml:space="preserve"> </w:t>
      </w:r>
      <w:r>
        <w:t xml:space="preserve">and are summarized in Table </w:t>
      </w:r>
      <w:r w:rsidR="000670A5">
        <w:t>3</w:t>
      </w:r>
      <w:r>
        <w:t>.</w:t>
      </w:r>
    </w:p>
    <w:p w14:paraId="11EBFF76" w14:textId="77777777" w:rsidR="000670A5" w:rsidRDefault="000670A5" w:rsidP="00A3545B"/>
    <w:p w14:paraId="032D40D8" w14:textId="2C6C1B0F" w:rsidR="00A3545B" w:rsidRDefault="000670A5" w:rsidP="000670A5">
      <w:pPr>
        <w:pStyle w:val="Caption"/>
        <w:keepNext/>
      </w:pPr>
      <w:r>
        <w:t>Table 3: Maximum uplink spectral efficiency</w:t>
      </w:r>
    </w:p>
    <w:tbl>
      <w:tblPr>
        <w:tblW w:w="5288" w:type="dxa"/>
        <w:tblInd w:w="2093" w:type="dxa"/>
        <w:tblCellMar>
          <w:left w:w="0" w:type="dxa"/>
          <w:right w:w="0" w:type="dxa"/>
        </w:tblCellMar>
        <w:tblLook w:val="04A0" w:firstRow="1" w:lastRow="0" w:firstColumn="1" w:lastColumn="0" w:noHBand="0" w:noVBand="1"/>
      </w:tblPr>
      <w:tblGrid>
        <w:gridCol w:w="1448"/>
        <w:gridCol w:w="960"/>
        <w:gridCol w:w="960"/>
        <w:gridCol w:w="960"/>
        <w:gridCol w:w="960"/>
      </w:tblGrid>
      <w:tr w:rsidR="00A3545B" w14:paraId="1B68043B" w14:textId="77777777" w:rsidTr="00A3545B">
        <w:trPr>
          <w:trHeight w:val="300"/>
        </w:trPr>
        <w:tc>
          <w:tcPr>
            <w:tcW w:w="1448" w:type="dxa"/>
            <w:tcBorders>
              <w:top w:val="single" w:sz="8" w:space="0" w:color="auto"/>
              <w:left w:val="single" w:sz="8" w:space="0" w:color="auto"/>
              <w:bottom w:val="single" w:sz="8" w:space="0" w:color="auto"/>
              <w:right w:val="single" w:sz="8" w:space="0" w:color="auto"/>
            </w:tcBorders>
            <w:shd w:val="clear" w:color="auto" w:fill="DAEEF3"/>
            <w:noWrap/>
            <w:tcMar>
              <w:top w:w="0" w:type="dxa"/>
              <w:left w:w="108" w:type="dxa"/>
              <w:bottom w:w="0" w:type="dxa"/>
              <w:right w:w="108" w:type="dxa"/>
            </w:tcMar>
            <w:hideMark/>
          </w:tcPr>
          <w:p w14:paraId="614098D6" w14:textId="50B89AC3" w:rsidR="00A3545B" w:rsidRDefault="00A3545B">
            <w:pPr>
              <w:rPr>
                <w:rFonts w:eastAsiaTheme="minorHAnsi" w:cs="Arial"/>
                <w:b/>
                <w:bCs/>
                <w:color w:val="000000"/>
                <w:sz w:val="18"/>
                <w:szCs w:val="18"/>
              </w:rPr>
            </w:pPr>
            <w:r>
              <w:rPr>
                <w:b/>
                <w:bCs/>
                <w:color w:val="000000"/>
                <w:sz w:val="18"/>
                <w:szCs w:val="18"/>
              </w:rPr>
              <w:t>Back off [dB]</w:t>
            </w:r>
          </w:p>
        </w:tc>
        <w:tc>
          <w:tcPr>
            <w:tcW w:w="3840" w:type="dxa"/>
            <w:gridSpan w:val="4"/>
            <w:tcBorders>
              <w:top w:val="single" w:sz="8" w:space="0" w:color="auto"/>
              <w:left w:val="nil"/>
              <w:bottom w:val="single" w:sz="8" w:space="0" w:color="auto"/>
              <w:right w:val="single" w:sz="8" w:space="0" w:color="auto"/>
            </w:tcBorders>
            <w:shd w:val="clear" w:color="auto" w:fill="DAEEF3"/>
            <w:noWrap/>
            <w:tcMar>
              <w:top w:w="0" w:type="dxa"/>
              <w:left w:w="108" w:type="dxa"/>
              <w:bottom w:w="0" w:type="dxa"/>
              <w:right w:w="108" w:type="dxa"/>
            </w:tcMar>
            <w:hideMark/>
          </w:tcPr>
          <w:p w14:paraId="063431D2" w14:textId="77777777" w:rsidR="00A3545B" w:rsidRDefault="00A3545B">
            <w:pPr>
              <w:jc w:val="center"/>
              <w:rPr>
                <w:rFonts w:eastAsiaTheme="minorHAnsi" w:cs="Arial"/>
                <w:b/>
                <w:bCs/>
                <w:color w:val="000000"/>
                <w:sz w:val="18"/>
                <w:szCs w:val="18"/>
              </w:rPr>
            </w:pPr>
            <w:r>
              <w:rPr>
                <w:b/>
                <w:bCs/>
                <w:color w:val="000000"/>
                <w:sz w:val="18"/>
                <w:szCs w:val="18"/>
              </w:rPr>
              <w:t>Number of subcarriers</w:t>
            </w:r>
          </w:p>
        </w:tc>
      </w:tr>
      <w:tr w:rsidR="00A3545B" w14:paraId="667E5DCD" w14:textId="77777777" w:rsidTr="00A3545B">
        <w:trPr>
          <w:trHeight w:val="300"/>
        </w:trPr>
        <w:tc>
          <w:tcPr>
            <w:tcW w:w="1448" w:type="dxa"/>
            <w:tcBorders>
              <w:top w:val="nil"/>
              <w:left w:val="single" w:sz="8" w:space="0" w:color="auto"/>
              <w:bottom w:val="single" w:sz="8" w:space="0" w:color="auto"/>
              <w:right w:val="single" w:sz="8" w:space="0" w:color="auto"/>
            </w:tcBorders>
            <w:shd w:val="clear" w:color="auto" w:fill="DAEEF3"/>
            <w:noWrap/>
            <w:tcMar>
              <w:top w:w="0" w:type="dxa"/>
              <w:left w:w="108" w:type="dxa"/>
              <w:bottom w:w="0" w:type="dxa"/>
              <w:right w:w="108" w:type="dxa"/>
            </w:tcMar>
            <w:hideMark/>
          </w:tcPr>
          <w:p w14:paraId="00771518" w14:textId="77777777" w:rsidR="00A3545B" w:rsidRDefault="00A3545B">
            <w:pPr>
              <w:rPr>
                <w:rFonts w:eastAsiaTheme="minorHAnsi" w:cs="Arial"/>
                <w:b/>
                <w:bCs/>
                <w:color w:val="000000"/>
                <w:sz w:val="18"/>
                <w:szCs w:val="18"/>
              </w:rPr>
            </w:pPr>
            <w:r>
              <w:rPr>
                <w:b/>
                <w:bCs/>
                <w:color w:val="000000"/>
                <w:sz w:val="18"/>
                <w:szCs w:val="18"/>
              </w:rPr>
              <w:t>Modulation</w:t>
            </w:r>
          </w:p>
        </w:tc>
        <w:tc>
          <w:tcPr>
            <w:tcW w:w="960" w:type="dxa"/>
            <w:tcBorders>
              <w:top w:val="nil"/>
              <w:left w:val="nil"/>
              <w:bottom w:val="single" w:sz="8" w:space="0" w:color="auto"/>
              <w:right w:val="single" w:sz="8" w:space="0" w:color="auto"/>
            </w:tcBorders>
            <w:shd w:val="clear" w:color="auto" w:fill="DAEEF3"/>
            <w:noWrap/>
            <w:tcMar>
              <w:top w:w="0" w:type="dxa"/>
              <w:left w:w="108" w:type="dxa"/>
              <w:bottom w:w="0" w:type="dxa"/>
              <w:right w:w="108" w:type="dxa"/>
            </w:tcMar>
            <w:hideMark/>
          </w:tcPr>
          <w:p w14:paraId="7370DC08" w14:textId="77777777" w:rsidR="00A3545B" w:rsidRDefault="00A3545B">
            <w:pPr>
              <w:jc w:val="right"/>
              <w:rPr>
                <w:rFonts w:eastAsiaTheme="minorHAnsi" w:cs="Arial"/>
                <w:color w:val="000000"/>
                <w:sz w:val="18"/>
                <w:szCs w:val="18"/>
              </w:rPr>
            </w:pPr>
            <w:r>
              <w:rPr>
                <w:color w:val="000000"/>
                <w:sz w:val="18"/>
                <w:szCs w:val="18"/>
              </w:rPr>
              <w:t>1</w:t>
            </w:r>
          </w:p>
        </w:tc>
        <w:tc>
          <w:tcPr>
            <w:tcW w:w="960" w:type="dxa"/>
            <w:tcBorders>
              <w:top w:val="nil"/>
              <w:left w:val="nil"/>
              <w:bottom w:val="single" w:sz="8" w:space="0" w:color="auto"/>
              <w:right w:val="single" w:sz="8" w:space="0" w:color="auto"/>
            </w:tcBorders>
            <w:shd w:val="clear" w:color="auto" w:fill="DAEEF3"/>
            <w:noWrap/>
            <w:tcMar>
              <w:top w:w="0" w:type="dxa"/>
              <w:left w:w="108" w:type="dxa"/>
              <w:bottom w:w="0" w:type="dxa"/>
              <w:right w:w="108" w:type="dxa"/>
            </w:tcMar>
            <w:hideMark/>
          </w:tcPr>
          <w:p w14:paraId="4BB62674" w14:textId="77777777" w:rsidR="00A3545B" w:rsidRDefault="00A3545B">
            <w:pPr>
              <w:jc w:val="right"/>
              <w:rPr>
                <w:rFonts w:eastAsiaTheme="minorHAnsi" w:cs="Arial"/>
                <w:color w:val="000000"/>
                <w:sz w:val="18"/>
                <w:szCs w:val="18"/>
              </w:rPr>
            </w:pPr>
            <w:r>
              <w:rPr>
                <w:color w:val="000000"/>
                <w:sz w:val="18"/>
                <w:szCs w:val="18"/>
              </w:rPr>
              <w:t>2</w:t>
            </w:r>
          </w:p>
        </w:tc>
        <w:tc>
          <w:tcPr>
            <w:tcW w:w="960" w:type="dxa"/>
            <w:tcBorders>
              <w:top w:val="nil"/>
              <w:left w:val="nil"/>
              <w:bottom w:val="single" w:sz="8" w:space="0" w:color="auto"/>
              <w:right w:val="single" w:sz="8" w:space="0" w:color="auto"/>
            </w:tcBorders>
            <w:shd w:val="clear" w:color="auto" w:fill="DAEEF3"/>
            <w:noWrap/>
            <w:tcMar>
              <w:top w:w="0" w:type="dxa"/>
              <w:left w:w="108" w:type="dxa"/>
              <w:bottom w:w="0" w:type="dxa"/>
              <w:right w:w="108" w:type="dxa"/>
            </w:tcMar>
            <w:hideMark/>
          </w:tcPr>
          <w:p w14:paraId="25EE05A3" w14:textId="4C149031" w:rsidR="00A3545B" w:rsidRDefault="00A3545B">
            <w:pPr>
              <w:jc w:val="right"/>
              <w:rPr>
                <w:rFonts w:eastAsiaTheme="minorHAnsi" w:cs="Arial"/>
                <w:color w:val="000000"/>
                <w:sz w:val="18"/>
                <w:szCs w:val="18"/>
              </w:rPr>
            </w:pPr>
            <w:r>
              <w:rPr>
                <w:color w:val="000000"/>
                <w:sz w:val="18"/>
                <w:szCs w:val="18"/>
              </w:rPr>
              <w:t>3-4</w:t>
            </w:r>
          </w:p>
        </w:tc>
        <w:tc>
          <w:tcPr>
            <w:tcW w:w="960" w:type="dxa"/>
            <w:tcBorders>
              <w:top w:val="nil"/>
              <w:left w:val="nil"/>
              <w:bottom w:val="single" w:sz="8" w:space="0" w:color="auto"/>
              <w:right w:val="single" w:sz="8" w:space="0" w:color="auto"/>
            </w:tcBorders>
            <w:shd w:val="clear" w:color="auto" w:fill="DAEEF3"/>
            <w:noWrap/>
            <w:tcMar>
              <w:top w:w="0" w:type="dxa"/>
              <w:left w:w="108" w:type="dxa"/>
              <w:bottom w:w="0" w:type="dxa"/>
              <w:right w:w="108" w:type="dxa"/>
            </w:tcMar>
            <w:hideMark/>
          </w:tcPr>
          <w:p w14:paraId="375AFB5B" w14:textId="4D4A0A53" w:rsidR="00A3545B" w:rsidRDefault="00A3545B" w:rsidP="00A3545B">
            <w:pPr>
              <w:jc w:val="right"/>
              <w:rPr>
                <w:rFonts w:eastAsiaTheme="minorHAnsi" w:cs="Arial"/>
                <w:color w:val="000000"/>
                <w:sz w:val="18"/>
                <w:szCs w:val="18"/>
              </w:rPr>
            </w:pPr>
            <w:r>
              <w:rPr>
                <w:color w:val="000000"/>
                <w:sz w:val="18"/>
                <w:szCs w:val="18"/>
              </w:rPr>
              <w:t>&gt;4</w:t>
            </w:r>
          </w:p>
        </w:tc>
      </w:tr>
      <w:tr w:rsidR="00A3545B" w14:paraId="48F24559" w14:textId="77777777" w:rsidTr="00A3545B">
        <w:trPr>
          <w:trHeight w:val="300"/>
        </w:trPr>
        <w:tc>
          <w:tcPr>
            <w:tcW w:w="1448" w:type="dxa"/>
            <w:tcBorders>
              <w:top w:val="nil"/>
              <w:left w:val="single" w:sz="8" w:space="0" w:color="auto"/>
              <w:bottom w:val="single" w:sz="8" w:space="0" w:color="auto"/>
              <w:right w:val="single" w:sz="8" w:space="0" w:color="auto"/>
            </w:tcBorders>
            <w:shd w:val="clear" w:color="auto" w:fill="DAEEF3"/>
            <w:noWrap/>
            <w:tcMar>
              <w:top w:w="0" w:type="dxa"/>
              <w:left w:w="108" w:type="dxa"/>
              <w:bottom w:w="0" w:type="dxa"/>
              <w:right w:w="108" w:type="dxa"/>
            </w:tcMar>
            <w:hideMark/>
          </w:tcPr>
          <w:p w14:paraId="18E168CD" w14:textId="77777777" w:rsidR="00A3545B" w:rsidRDefault="00A3545B">
            <w:pPr>
              <w:rPr>
                <w:rFonts w:eastAsiaTheme="minorHAnsi" w:cs="Arial"/>
                <w:color w:val="000000"/>
                <w:sz w:val="18"/>
                <w:szCs w:val="18"/>
              </w:rPr>
            </w:pPr>
            <w:r>
              <w:rPr>
                <w:color w:val="000000"/>
                <w:sz w:val="18"/>
                <w:szCs w:val="18"/>
              </w:rPr>
              <w:t>pi/2 BPSK</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14:paraId="1A7E4675" w14:textId="35C43552" w:rsidR="00A3545B" w:rsidRDefault="00A3545B" w:rsidP="00A3545B">
            <w:pPr>
              <w:jc w:val="right"/>
              <w:rPr>
                <w:rFonts w:eastAsiaTheme="minorHAnsi" w:cs="Arial"/>
                <w:color w:val="000000"/>
                <w:sz w:val="18"/>
                <w:szCs w:val="18"/>
              </w:rPr>
            </w:pPr>
            <w:r>
              <w:rPr>
                <w:color w:val="000000"/>
                <w:sz w:val="18"/>
                <w:szCs w:val="18"/>
              </w:rPr>
              <w:t>0</w:t>
            </w:r>
          </w:p>
        </w:tc>
        <w:tc>
          <w:tcPr>
            <w:tcW w:w="960" w:type="dxa"/>
            <w:tcBorders>
              <w:top w:val="nil"/>
              <w:left w:val="nil"/>
              <w:bottom w:val="single" w:sz="8" w:space="0" w:color="auto"/>
              <w:right w:val="single" w:sz="8" w:space="0" w:color="auto"/>
            </w:tcBorders>
            <w:shd w:val="clear" w:color="auto" w:fill="F2F2F2"/>
            <w:noWrap/>
            <w:tcMar>
              <w:top w:w="0" w:type="dxa"/>
              <w:left w:w="108" w:type="dxa"/>
              <w:bottom w:w="0" w:type="dxa"/>
              <w:right w:w="108" w:type="dxa"/>
            </w:tcMar>
          </w:tcPr>
          <w:p w14:paraId="7961C301" w14:textId="77777777" w:rsidR="00A3545B" w:rsidRDefault="00A3545B">
            <w:pPr>
              <w:jc w:val="right"/>
              <w:rPr>
                <w:rFonts w:eastAsiaTheme="minorHAnsi" w:cs="Arial"/>
                <w:color w:val="000000"/>
                <w:sz w:val="18"/>
                <w:szCs w:val="18"/>
              </w:rPr>
            </w:pPr>
          </w:p>
        </w:tc>
        <w:tc>
          <w:tcPr>
            <w:tcW w:w="960" w:type="dxa"/>
            <w:tcBorders>
              <w:top w:val="nil"/>
              <w:left w:val="nil"/>
              <w:bottom w:val="single" w:sz="8" w:space="0" w:color="auto"/>
              <w:right w:val="single" w:sz="8" w:space="0" w:color="auto"/>
            </w:tcBorders>
            <w:shd w:val="clear" w:color="auto" w:fill="F2F2F2"/>
            <w:noWrap/>
            <w:tcMar>
              <w:top w:w="0" w:type="dxa"/>
              <w:left w:w="108" w:type="dxa"/>
              <w:bottom w:w="0" w:type="dxa"/>
              <w:right w:w="108" w:type="dxa"/>
            </w:tcMar>
          </w:tcPr>
          <w:p w14:paraId="3682E8A9" w14:textId="77777777" w:rsidR="00A3545B" w:rsidRDefault="00A3545B">
            <w:pPr>
              <w:jc w:val="right"/>
              <w:rPr>
                <w:rFonts w:eastAsiaTheme="minorHAnsi" w:cs="Arial"/>
                <w:color w:val="000000"/>
                <w:sz w:val="18"/>
                <w:szCs w:val="18"/>
              </w:rPr>
            </w:pPr>
          </w:p>
        </w:tc>
        <w:tc>
          <w:tcPr>
            <w:tcW w:w="960" w:type="dxa"/>
            <w:tcBorders>
              <w:top w:val="nil"/>
              <w:left w:val="nil"/>
              <w:bottom w:val="single" w:sz="8" w:space="0" w:color="auto"/>
              <w:right w:val="single" w:sz="8" w:space="0" w:color="auto"/>
            </w:tcBorders>
            <w:shd w:val="clear" w:color="auto" w:fill="F2F2F2"/>
            <w:noWrap/>
            <w:tcMar>
              <w:top w:w="0" w:type="dxa"/>
              <w:left w:w="108" w:type="dxa"/>
              <w:bottom w:w="0" w:type="dxa"/>
              <w:right w:w="108" w:type="dxa"/>
            </w:tcMar>
          </w:tcPr>
          <w:p w14:paraId="5724796E" w14:textId="77777777" w:rsidR="00A3545B" w:rsidRDefault="00A3545B">
            <w:pPr>
              <w:jc w:val="right"/>
              <w:rPr>
                <w:rFonts w:eastAsiaTheme="minorHAnsi" w:cs="Arial"/>
                <w:color w:val="000000"/>
                <w:sz w:val="18"/>
                <w:szCs w:val="18"/>
              </w:rPr>
            </w:pPr>
          </w:p>
        </w:tc>
      </w:tr>
      <w:tr w:rsidR="00A3545B" w14:paraId="6A11E895" w14:textId="77777777" w:rsidTr="00A3545B">
        <w:trPr>
          <w:trHeight w:val="300"/>
        </w:trPr>
        <w:tc>
          <w:tcPr>
            <w:tcW w:w="1448" w:type="dxa"/>
            <w:tcBorders>
              <w:top w:val="nil"/>
              <w:left w:val="single" w:sz="8" w:space="0" w:color="auto"/>
              <w:bottom w:val="single" w:sz="8" w:space="0" w:color="auto"/>
              <w:right w:val="single" w:sz="8" w:space="0" w:color="auto"/>
            </w:tcBorders>
            <w:shd w:val="clear" w:color="auto" w:fill="DAEEF3"/>
            <w:noWrap/>
            <w:tcMar>
              <w:top w:w="0" w:type="dxa"/>
              <w:left w:w="108" w:type="dxa"/>
              <w:bottom w:w="0" w:type="dxa"/>
              <w:right w:w="108" w:type="dxa"/>
            </w:tcMar>
            <w:hideMark/>
          </w:tcPr>
          <w:p w14:paraId="115B3051" w14:textId="77777777" w:rsidR="00A3545B" w:rsidRDefault="00A3545B">
            <w:pPr>
              <w:rPr>
                <w:rFonts w:eastAsiaTheme="minorHAnsi" w:cs="Arial"/>
                <w:color w:val="000000"/>
                <w:sz w:val="18"/>
                <w:szCs w:val="18"/>
              </w:rPr>
            </w:pPr>
            <w:r>
              <w:rPr>
                <w:color w:val="000000"/>
                <w:sz w:val="18"/>
                <w:szCs w:val="18"/>
              </w:rPr>
              <w:t>pi/4 QPSK</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14:paraId="725943C0" w14:textId="62A11AEE" w:rsidR="00A3545B" w:rsidRDefault="00A3545B">
            <w:pPr>
              <w:jc w:val="right"/>
              <w:rPr>
                <w:rFonts w:eastAsiaTheme="minorHAnsi" w:cs="Arial"/>
                <w:color w:val="000000"/>
                <w:sz w:val="18"/>
                <w:szCs w:val="18"/>
              </w:rPr>
            </w:pPr>
            <w:r>
              <w:rPr>
                <w:color w:val="000000"/>
                <w:sz w:val="18"/>
                <w:szCs w:val="18"/>
              </w:rPr>
              <w:t>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14:paraId="65892305" w14:textId="77777777" w:rsidR="00A3545B" w:rsidRDefault="00A3545B">
            <w:pPr>
              <w:jc w:val="right"/>
              <w:rPr>
                <w:rFonts w:eastAsiaTheme="minorHAnsi" w:cs="Arial"/>
                <w:color w:val="000000"/>
                <w:sz w:val="18"/>
                <w:szCs w:val="18"/>
              </w:rPr>
            </w:pPr>
            <w:r>
              <w:rPr>
                <w:color w:val="000000"/>
                <w:sz w:val="18"/>
                <w:szCs w:val="18"/>
              </w:rPr>
              <w:t>1.5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14:paraId="591163D6" w14:textId="77777777" w:rsidR="00A3545B" w:rsidRDefault="00A3545B">
            <w:pPr>
              <w:jc w:val="right"/>
              <w:rPr>
                <w:rFonts w:eastAsiaTheme="minorHAnsi" w:cs="Arial"/>
                <w:color w:val="000000"/>
                <w:sz w:val="18"/>
                <w:szCs w:val="18"/>
              </w:rPr>
            </w:pPr>
            <w:r>
              <w:rPr>
                <w:color w:val="000000"/>
                <w:sz w:val="18"/>
                <w:szCs w:val="18"/>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hideMark/>
          </w:tcPr>
          <w:p w14:paraId="0B2FED99" w14:textId="77777777" w:rsidR="00A3545B" w:rsidRDefault="00A3545B">
            <w:pPr>
              <w:jc w:val="right"/>
              <w:rPr>
                <w:rFonts w:eastAsiaTheme="minorHAnsi" w:cs="Arial"/>
                <w:color w:val="000000"/>
                <w:sz w:val="18"/>
                <w:szCs w:val="18"/>
              </w:rPr>
            </w:pPr>
            <w:r>
              <w:rPr>
                <w:color w:val="000000"/>
                <w:sz w:val="18"/>
                <w:szCs w:val="18"/>
              </w:rPr>
              <w:t>2.2</w:t>
            </w:r>
          </w:p>
        </w:tc>
      </w:tr>
    </w:tbl>
    <w:p w14:paraId="71DCF5A2" w14:textId="77777777" w:rsidR="00A2473B" w:rsidRDefault="00A2473B" w:rsidP="00A3545B"/>
    <w:p w14:paraId="068E14BB" w14:textId="10B1C70A" w:rsidR="00A3545B" w:rsidRDefault="000670A5" w:rsidP="00A3545B">
      <w:r>
        <w:t xml:space="preserve">As we see in </w:t>
      </w:r>
      <w:r w:rsidR="00A2473B">
        <w:fldChar w:fldCharType="begin"/>
      </w:r>
      <w:r w:rsidR="00A2473B">
        <w:instrText xml:space="preserve"> REF _Ref435194022 \h </w:instrText>
      </w:r>
      <w:r w:rsidR="00A2473B">
        <w:fldChar w:fldCharType="separate"/>
      </w:r>
      <w:r w:rsidR="00240817">
        <w:t xml:space="preserve">Figure </w:t>
      </w:r>
      <w:r w:rsidR="00240817">
        <w:rPr>
          <w:noProof/>
        </w:rPr>
        <w:t>8</w:t>
      </w:r>
      <w:r w:rsidR="00A2473B">
        <w:fldChar w:fldCharType="end"/>
      </w:r>
      <w:r w:rsidR="00A2473B">
        <w:t xml:space="preserve">, also when the UE PA is backed off to support multi-tone transmissions the system can handle the same high traffic load, 207,000 devices per cell. </w:t>
      </w:r>
    </w:p>
    <w:p w14:paraId="3090CE57" w14:textId="63C67D5B" w:rsidR="00A3545B" w:rsidRDefault="000670A5" w:rsidP="000670A5">
      <w:pPr>
        <w:keepNext/>
        <w:jc w:val="center"/>
      </w:pPr>
      <w:r>
        <w:rPr>
          <w:noProof/>
          <w:lang w:val="sv-SE"/>
        </w:rPr>
        <w:lastRenderedPageBreak/>
        <w:drawing>
          <wp:inline distT="0" distB="0" distL="0" distR="0" wp14:anchorId="3279BDE4" wp14:editId="075505A7">
            <wp:extent cx="4114165" cy="3085465"/>
            <wp:effectExtent l="0" t="0" r="63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4165" cy="3085465"/>
                    </a:xfrm>
                    <a:prstGeom prst="rect">
                      <a:avLst/>
                    </a:prstGeom>
                    <a:noFill/>
                  </pic:spPr>
                </pic:pic>
              </a:graphicData>
            </a:graphic>
          </wp:inline>
        </w:drawing>
      </w:r>
    </w:p>
    <w:p w14:paraId="3E48B819" w14:textId="0C4D24EB" w:rsidR="00A3545B" w:rsidRDefault="00A3545B" w:rsidP="00A3545B">
      <w:pPr>
        <w:pStyle w:val="Caption"/>
      </w:pPr>
      <w:bookmarkStart w:id="11" w:name="_Ref435194022"/>
      <w:r>
        <w:t xml:space="preserve">Figure </w:t>
      </w:r>
      <w:r>
        <w:fldChar w:fldCharType="begin"/>
      </w:r>
      <w:r>
        <w:instrText xml:space="preserve"> SEQ Figure \* ARABIC </w:instrText>
      </w:r>
      <w:r>
        <w:fldChar w:fldCharType="separate"/>
      </w:r>
      <w:r w:rsidR="00240817">
        <w:rPr>
          <w:noProof/>
        </w:rPr>
        <w:t>8</w:t>
      </w:r>
      <w:r>
        <w:fldChar w:fldCharType="end"/>
      </w:r>
      <w:bookmarkEnd w:id="11"/>
      <w:r>
        <w:t>: Uplink c</w:t>
      </w:r>
      <w:r w:rsidRPr="00315C48">
        <w:rPr>
          <w:rFonts w:hint="eastAsia"/>
        </w:rPr>
        <w:t>apacity (in #</w:t>
      </w:r>
      <w:r>
        <w:t>messages</w:t>
      </w:r>
      <w:r w:rsidRPr="00315C48">
        <w:rPr>
          <w:rFonts w:hint="eastAsia"/>
        </w:rPr>
        <w:t>/hour)</w:t>
      </w:r>
      <w:r>
        <w:t xml:space="preserve"> with multi-tone back </w:t>
      </w:r>
      <w:proofErr w:type="gramStart"/>
      <w:r>
        <w:t>off,</w:t>
      </w:r>
      <w:proofErr w:type="gramEnd"/>
      <w:r>
        <w:t xml:space="preserve"> based on scenario 2 with 0.75 BPL correlation.</w:t>
      </w:r>
    </w:p>
    <w:p w14:paraId="142B15FC" w14:textId="2410AE4B" w:rsidR="00A2473B" w:rsidRDefault="00A2473B" w:rsidP="00A2473B">
      <w:r>
        <w:fldChar w:fldCharType="begin"/>
      </w:r>
      <w:r>
        <w:instrText xml:space="preserve"> REF _Ref435194024 \h </w:instrText>
      </w:r>
      <w:r>
        <w:fldChar w:fldCharType="separate"/>
      </w:r>
      <w:r w:rsidR="00240817">
        <w:t xml:space="preserve">Figure </w:t>
      </w:r>
      <w:r w:rsidR="00240817">
        <w:rPr>
          <w:noProof/>
        </w:rPr>
        <w:t>9</w:t>
      </w:r>
      <w:r>
        <w:fldChar w:fldCharType="end"/>
      </w:r>
      <w:r>
        <w:t xml:space="preserve"> shows the uplink report failure probability for increasing traffic load. We see that the probability is very low all the way to over 200,000 devices per cell, and assuming an additional back off</w:t>
      </w:r>
      <w:r w:rsidR="001832F2">
        <w:t xml:space="preserve"> is needed</w:t>
      </w:r>
      <w:r>
        <w:t xml:space="preserve"> for multi-tone transmissions does not affect the capacity significantly. </w:t>
      </w:r>
    </w:p>
    <w:p w14:paraId="2D1EDDAE" w14:textId="77777777" w:rsidR="00A2473B" w:rsidRPr="00A2473B" w:rsidRDefault="00A2473B" w:rsidP="000670A5">
      <w:pPr>
        <w:keepNext/>
        <w:jc w:val="center"/>
        <w:rPr>
          <w:noProof/>
          <w:lang w:val="en-US" w:eastAsia="sv-SE"/>
        </w:rPr>
      </w:pPr>
    </w:p>
    <w:p w14:paraId="561323A2" w14:textId="725E3DE6" w:rsidR="000670A5" w:rsidRDefault="000670A5" w:rsidP="000670A5">
      <w:pPr>
        <w:keepNext/>
        <w:jc w:val="center"/>
      </w:pPr>
      <w:r>
        <w:rPr>
          <w:noProof/>
          <w:lang w:val="sv-SE"/>
        </w:rPr>
        <w:drawing>
          <wp:inline distT="0" distB="0" distL="0" distR="0" wp14:anchorId="1BE50010" wp14:editId="3FBDE09A">
            <wp:extent cx="4114165" cy="3085465"/>
            <wp:effectExtent l="0" t="0" r="63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4165" cy="3085465"/>
                    </a:xfrm>
                    <a:prstGeom prst="rect">
                      <a:avLst/>
                    </a:prstGeom>
                    <a:noFill/>
                  </pic:spPr>
                </pic:pic>
              </a:graphicData>
            </a:graphic>
          </wp:inline>
        </w:drawing>
      </w:r>
    </w:p>
    <w:p w14:paraId="1C420DF9" w14:textId="77777777" w:rsidR="00A2473B" w:rsidRDefault="00A2473B" w:rsidP="000670A5">
      <w:pPr>
        <w:keepNext/>
        <w:jc w:val="center"/>
      </w:pPr>
    </w:p>
    <w:p w14:paraId="374ACFF9" w14:textId="28018713" w:rsidR="000670A5" w:rsidRDefault="000670A5" w:rsidP="000670A5">
      <w:pPr>
        <w:pStyle w:val="Caption"/>
      </w:pPr>
      <w:bookmarkStart w:id="12" w:name="_Ref435194024"/>
      <w:r>
        <w:t xml:space="preserve">Figure </w:t>
      </w:r>
      <w:r>
        <w:fldChar w:fldCharType="begin"/>
      </w:r>
      <w:r>
        <w:instrText xml:space="preserve"> SEQ Figure \* ARABIC </w:instrText>
      </w:r>
      <w:r>
        <w:fldChar w:fldCharType="separate"/>
      </w:r>
      <w:r w:rsidR="00240817">
        <w:rPr>
          <w:noProof/>
        </w:rPr>
        <w:t>9</w:t>
      </w:r>
      <w:r>
        <w:fldChar w:fldCharType="end"/>
      </w:r>
      <w:bookmarkEnd w:id="12"/>
      <w:r>
        <w:t xml:space="preserve">: </w:t>
      </w:r>
      <w:r w:rsidR="008F7A98" w:rsidRPr="008F7A98">
        <w:t xml:space="preserve">UL MAR failure probability, based on scenario 2 with 0.75 BPL </w:t>
      </w:r>
      <w:proofErr w:type="gramStart"/>
      <w:r w:rsidR="008F7A98" w:rsidRPr="008F7A98">
        <w:t>correlation</w:t>
      </w:r>
      <w:proofErr w:type="gramEnd"/>
      <w:r w:rsidR="008F7A98" w:rsidRPr="008F7A98">
        <w:t>. (Failure event defined as deli</w:t>
      </w:r>
      <w:r w:rsidR="008F7A98">
        <w:t>very time exceeding 30 seconds.)</w:t>
      </w:r>
    </w:p>
    <w:p w14:paraId="2331ADBC" w14:textId="43E2CC41" w:rsidR="00EE6D02" w:rsidRDefault="00EE6D02" w:rsidP="00EE6D02">
      <w:pPr>
        <w:pStyle w:val="Heading3"/>
      </w:pPr>
      <w:r>
        <w:t>Different SNR targets</w:t>
      </w:r>
    </w:p>
    <w:p w14:paraId="6019BE84" w14:textId="05006A11" w:rsidR="00212FE8" w:rsidRDefault="00FC7972" w:rsidP="00FC7972">
      <w:r>
        <w:t xml:space="preserve">In </w:t>
      </w:r>
      <w:r>
        <w:fldChar w:fldCharType="begin"/>
      </w:r>
      <w:r>
        <w:instrText xml:space="preserve"> REF _Ref435550195 \r \h </w:instrText>
      </w:r>
      <w:r>
        <w:fldChar w:fldCharType="separate"/>
      </w:r>
      <w:r w:rsidR="00240817">
        <w:t>[6]</w:t>
      </w:r>
      <w:r>
        <w:fldChar w:fldCharType="end"/>
      </w:r>
      <w:r w:rsidR="00212FE8">
        <w:t xml:space="preserve">, referring on results in </w:t>
      </w:r>
      <w:r w:rsidR="00212FE8">
        <w:fldChar w:fldCharType="begin"/>
      </w:r>
      <w:r w:rsidR="00212FE8">
        <w:instrText xml:space="preserve"> REF _Ref435550196 \r \h </w:instrText>
      </w:r>
      <w:r w:rsidR="00212FE8">
        <w:fldChar w:fldCharType="separate"/>
      </w:r>
      <w:r w:rsidR="00240817">
        <w:t>[7]</w:t>
      </w:r>
      <w:r w:rsidR="00212FE8">
        <w:fldChar w:fldCharType="end"/>
      </w:r>
      <w:r w:rsidR="00212FE8">
        <w:t>,</w:t>
      </w:r>
      <w:r>
        <w:t xml:space="preserve"> it is summarized that FDMA with GMSK could support 182,000 devices per cell in standalone mode</w:t>
      </w:r>
      <w:r w:rsidR="00212FE8">
        <w:t xml:space="preserve">. In an attempt to reproduce such results other </w:t>
      </w:r>
      <w:r w:rsidR="00EE6D02">
        <w:t xml:space="preserve">uplink open loop power control targets </w:t>
      </w:r>
      <w:r w:rsidR="00212FE8">
        <w:t xml:space="preserve">than 0 dB </w:t>
      </w:r>
      <w:r w:rsidR="00B11859">
        <w:t xml:space="preserve">SNR </w:t>
      </w:r>
      <w:r w:rsidR="00212FE8">
        <w:t xml:space="preserve">have been studied. The results are summarized in </w:t>
      </w:r>
      <w:r w:rsidR="00212FE8">
        <w:fldChar w:fldCharType="begin"/>
      </w:r>
      <w:r w:rsidR="00212FE8">
        <w:instrText xml:space="preserve"> REF _Ref435550467 \h </w:instrText>
      </w:r>
      <w:r w:rsidR="00212FE8">
        <w:fldChar w:fldCharType="separate"/>
      </w:r>
      <w:r w:rsidR="00240817">
        <w:t xml:space="preserve">Figure </w:t>
      </w:r>
      <w:r w:rsidR="00240817">
        <w:rPr>
          <w:noProof/>
        </w:rPr>
        <w:t>10</w:t>
      </w:r>
      <w:r w:rsidR="00212FE8">
        <w:fldChar w:fldCharType="end"/>
      </w:r>
      <w:r w:rsidR="00212FE8">
        <w:t xml:space="preserve">. </w:t>
      </w:r>
      <w:r w:rsidR="0054338F">
        <w:t xml:space="preserve">We see that if the SNR target </w:t>
      </w:r>
      <w:r w:rsidR="0054338F">
        <w:lastRenderedPageBreak/>
        <w:t xml:space="preserve">is increased </w:t>
      </w:r>
      <w:r w:rsidR="00B11859">
        <w:t xml:space="preserve">from the baseline assumption of 0 dB </w:t>
      </w:r>
      <w:r w:rsidR="0054338F">
        <w:t>to 5 dB, 147,000 devices could be supported</w:t>
      </w:r>
      <w:r w:rsidR="00B11859">
        <w:t xml:space="preserve"> with GMSK, and </w:t>
      </w:r>
      <w:r w:rsidR="0054338F">
        <w:t>about 100,000 devices more, 245,000 devices per cell</w:t>
      </w:r>
      <w:r w:rsidR="00B11859">
        <w:t>, with SC-FDMA</w:t>
      </w:r>
      <w:r w:rsidR="0054338F">
        <w:t>. For a 10 dB SNR target FDMA capacity reduces</w:t>
      </w:r>
      <w:r w:rsidR="00B11859">
        <w:t xml:space="preserve"> to 128,000 devices</w:t>
      </w:r>
      <w:r w:rsidR="0054338F">
        <w:t>, while it increases for SC-FDMA, up to 263,000 devices per cell. However, in no setup can we reach the 182,000 devices per cell with FDMA and GMSK</w:t>
      </w:r>
      <w:r w:rsidR="00B11859">
        <w:t xml:space="preserve"> claimed in</w:t>
      </w:r>
      <w:r w:rsidR="00BA2EED">
        <w:t xml:space="preserve"> </w:t>
      </w:r>
      <w:r w:rsidR="00BA2EED">
        <w:fldChar w:fldCharType="begin"/>
      </w:r>
      <w:r w:rsidR="00BA2EED">
        <w:instrText xml:space="preserve"> REF _Ref435550195 \r \h </w:instrText>
      </w:r>
      <w:r w:rsidR="00BA2EED">
        <w:fldChar w:fldCharType="separate"/>
      </w:r>
      <w:r w:rsidR="00240817">
        <w:t>[6]</w:t>
      </w:r>
      <w:r w:rsidR="00BA2EED">
        <w:fldChar w:fldCharType="end"/>
      </w:r>
      <w:r w:rsidR="00BA2EED">
        <w:t xml:space="preserve"> and </w:t>
      </w:r>
      <w:r w:rsidR="00B11859">
        <w:fldChar w:fldCharType="begin"/>
      </w:r>
      <w:r w:rsidR="00B11859">
        <w:instrText xml:space="preserve"> REF _Ref435550196 \r \h </w:instrText>
      </w:r>
      <w:r w:rsidR="00B11859">
        <w:fldChar w:fldCharType="separate"/>
      </w:r>
      <w:r w:rsidR="00240817">
        <w:t>[7]</w:t>
      </w:r>
      <w:r w:rsidR="00B11859">
        <w:fldChar w:fldCharType="end"/>
      </w:r>
      <w:r w:rsidR="0054338F">
        <w:t xml:space="preserve">. </w:t>
      </w:r>
    </w:p>
    <w:p w14:paraId="531C943B" w14:textId="6CC0E483" w:rsidR="00A3545B" w:rsidRDefault="00FC7972" w:rsidP="00FC7972">
      <w:pPr>
        <w:jc w:val="center"/>
      </w:pPr>
      <w:r>
        <w:rPr>
          <w:noProof/>
          <w:lang w:val="sv-SE"/>
        </w:rPr>
        <w:drawing>
          <wp:inline distT="0" distB="0" distL="0" distR="0" wp14:anchorId="4BB7C7D9" wp14:editId="3F0B6F0D">
            <wp:extent cx="4788000" cy="3384000"/>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88000" cy="3384000"/>
                    </a:xfrm>
                    <a:prstGeom prst="rect">
                      <a:avLst/>
                    </a:prstGeom>
                    <a:noFill/>
                    <a:ln>
                      <a:noFill/>
                    </a:ln>
                  </pic:spPr>
                </pic:pic>
              </a:graphicData>
            </a:graphic>
          </wp:inline>
        </w:drawing>
      </w:r>
    </w:p>
    <w:p w14:paraId="0AB4BF6D" w14:textId="532067BA" w:rsidR="00FC7972" w:rsidRDefault="00FC7972" w:rsidP="00FC7972">
      <w:pPr>
        <w:pStyle w:val="Caption"/>
      </w:pPr>
      <w:bookmarkStart w:id="13" w:name="_Ref435550467"/>
      <w:r>
        <w:t xml:space="preserve">Figure </w:t>
      </w:r>
      <w:r>
        <w:fldChar w:fldCharType="begin"/>
      </w:r>
      <w:r>
        <w:instrText xml:space="preserve"> SEQ Figure \* ARABIC </w:instrText>
      </w:r>
      <w:r>
        <w:fldChar w:fldCharType="separate"/>
      </w:r>
      <w:r w:rsidR="00240817">
        <w:rPr>
          <w:noProof/>
        </w:rPr>
        <w:t>10</w:t>
      </w:r>
      <w:r>
        <w:fldChar w:fldCharType="end"/>
      </w:r>
      <w:bookmarkEnd w:id="13"/>
      <w:r>
        <w:t>: Comparison between SC-FDMA and FDMA+GMSK uplink c</w:t>
      </w:r>
      <w:r w:rsidRPr="00315C48">
        <w:rPr>
          <w:rFonts w:hint="eastAsia"/>
        </w:rPr>
        <w:t xml:space="preserve">apacity </w:t>
      </w:r>
      <w:r>
        <w:t xml:space="preserve">with different SNR targets </w:t>
      </w:r>
      <w:r w:rsidRPr="00315C48">
        <w:rPr>
          <w:rFonts w:hint="eastAsia"/>
        </w:rPr>
        <w:t>(</w:t>
      </w:r>
      <w:r>
        <w:t>worst percentile user throughput</w:t>
      </w:r>
      <w:r w:rsidRPr="00315C48">
        <w:rPr>
          <w:rFonts w:hint="eastAsia"/>
        </w:rPr>
        <w:t>)</w:t>
      </w:r>
      <w:r>
        <w:t xml:space="preserve">, based on scenario 2 with 0.75 BPL </w:t>
      </w:r>
      <w:proofErr w:type="gramStart"/>
      <w:r>
        <w:t>correlation</w:t>
      </w:r>
      <w:proofErr w:type="gramEnd"/>
    </w:p>
    <w:p w14:paraId="65305834" w14:textId="77777777" w:rsidR="00FC7972" w:rsidRPr="00A3545B" w:rsidRDefault="00FC7972" w:rsidP="00FC7972">
      <w:pPr>
        <w:jc w:val="center"/>
      </w:pPr>
    </w:p>
    <w:p w14:paraId="095B39DB" w14:textId="0BC738C4" w:rsidR="002C3899" w:rsidRDefault="002C3899" w:rsidP="00263018">
      <w:pPr>
        <w:pStyle w:val="Heading2"/>
      </w:pPr>
      <w:r>
        <w:t>Downlink capacity</w:t>
      </w:r>
    </w:p>
    <w:p w14:paraId="2F6083BF" w14:textId="56A858D7" w:rsidR="00215E69" w:rsidRDefault="00215E69" w:rsidP="00215E69">
      <w:r>
        <w:t xml:space="preserve">Downlink capacity is shown in </w:t>
      </w:r>
      <w:r w:rsidR="00A36084">
        <w:fldChar w:fldCharType="begin"/>
      </w:r>
      <w:r w:rsidR="00A36084">
        <w:instrText xml:space="preserve"> REF _Ref434631515 \h </w:instrText>
      </w:r>
      <w:r w:rsidR="00A36084">
        <w:fldChar w:fldCharType="separate"/>
      </w:r>
      <w:r w:rsidR="00240817">
        <w:t xml:space="preserve">Figure </w:t>
      </w:r>
      <w:r w:rsidR="00240817">
        <w:rPr>
          <w:noProof/>
        </w:rPr>
        <w:t>11</w:t>
      </w:r>
      <w:r w:rsidR="00A36084">
        <w:fldChar w:fldCharType="end"/>
      </w:r>
      <w:r>
        <w:t>. It can be seen that the capacity target of 52500 devices per cell can be easily met</w:t>
      </w:r>
      <w:r w:rsidR="0007755A">
        <w:t xml:space="preserve"> with the 15 kHz DL option</w:t>
      </w:r>
      <w:r>
        <w:t>. For DL, the difference between reuse 1 and reuse 3 is less evident as the main limitation is total available power at the base station.</w:t>
      </w:r>
    </w:p>
    <w:p w14:paraId="24AAF15B" w14:textId="1F10DDDF" w:rsidR="00215E69" w:rsidRDefault="00D24314" w:rsidP="00215E69">
      <w:pPr>
        <w:jc w:val="center"/>
      </w:pPr>
      <w:r>
        <w:rPr>
          <w:noProof/>
          <w:lang w:val="sv-SE"/>
        </w:rPr>
        <w:drawing>
          <wp:inline distT="0" distB="0" distL="0" distR="0" wp14:anchorId="7F52866A" wp14:editId="23B62E09">
            <wp:extent cx="4258800" cy="319320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4CFA0806" w14:textId="2AFCAABC" w:rsidR="00215E69" w:rsidRDefault="00215E69" w:rsidP="00215E69">
      <w:pPr>
        <w:pStyle w:val="Caption"/>
      </w:pPr>
      <w:bookmarkStart w:id="14" w:name="_Ref434631515"/>
      <w:r>
        <w:lastRenderedPageBreak/>
        <w:t xml:space="preserve">Figure </w:t>
      </w:r>
      <w:r>
        <w:fldChar w:fldCharType="begin"/>
      </w:r>
      <w:r>
        <w:instrText xml:space="preserve"> SEQ Figure \* ARABIC </w:instrText>
      </w:r>
      <w:r>
        <w:fldChar w:fldCharType="separate"/>
      </w:r>
      <w:r w:rsidR="00240817">
        <w:rPr>
          <w:noProof/>
        </w:rPr>
        <w:t>11</w:t>
      </w:r>
      <w:r>
        <w:fldChar w:fldCharType="end"/>
      </w:r>
      <w:bookmarkEnd w:id="14"/>
      <w:r>
        <w:t>: Downlink c</w:t>
      </w:r>
      <w:r w:rsidRPr="00315C48">
        <w:rPr>
          <w:rFonts w:hint="eastAsia"/>
        </w:rPr>
        <w:t>apacity (in #</w:t>
      </w:r>
      <w:r w:rsidR="00D24314">
        <w:t>messages</w:t>
      </w:r>
      <w:r w:rsidRPr="00315C48">
        <w:rPr>
          <w:rFonts w:hint="eastAsia"/>
        </w:rPr>
        <w:t>/hour)</w:t>
      </w:r>
      <w:r>
        <w:t xml:space="preserve">, based on scenario 2 with 0.75 BPL </w:t>
      </w:r>
      <w:proofErr w:type="gramStart"/>
      <w:r>
        <w:t>correlation</w:t>
      </w:r>
      <w:proofErr w:type="gramEnd"/>
      <w:r>
        <w:t>.</w:t>
      </w:r>
    </w:p>
    <w:p w14:paraId="69B84B45" w14:textId="179BA3E4" w:rsidR="00604C1F" w:rsidRDefault="00604C1F" w:rsidP="00604C1F">
      <w:pPr>
        <w:pStyle w:val="Heading2"/>
      </w:pPr>
      <w:r>
        <w:t>User throughput</w:t>
      </w:r>
    </w:p>
    <w:p w14:paraId="32B50E5F" w14:textId="36018F6A" w:rsidR="00F355C1" w:rsidRDefault="00594C0E" w:rsidP="00424659">
      <w:r>
        <w:t xml:space="preserve">The performance for UEs </w:t>
      </w:r>
      <w:r w:rsidR="002250F8">
        <w:t>at</w:t>
      </w:r>
      <w:r>
        <w:t xml:space="preserve"> very bad coverage locations are examined in more details in</w:t>
      </w:r>
      <w:r w:rsidR="00DB1B3C">
        <w:t xml:space="preserve"> </w:t>
      </w:r>
      <w:r w:rsidR="00DB1B3C">
        <w:fldChar w:fldCharType="begin"/>
      </w:r>
      <w:r w:rsidR="00DB1B3C">
        <w:instrText xml:space="preserve"> REF _Ref434632031 \h </w:instrText>
      </w:r>
      <w:r w:rsidR="00DB1B3C">
        <w:fldChar w:fldCharType="separate"/>
      </w:r>
      <w:r w:rsidR="00240817">
        <w:t xml:space="preserve">Figure </w:t>
      </w:r>
      <w:r w:rsidR="00240817">
        <w:rPr>
          <w:noProof/>
        </w:rPr>
        <w:t>12</w:t>
      </w:r>
      <w:r w:rsidR="00DB1B3C">
        <w:fldChar w:fldCharType="end"/>
      </w:r>
      <w:r w:rsidR="00DB1B3C">
        <w:t xml:space="preserve"> and</w:t>
      </w:r>
      <w:r>
        <w:t xml:space="preserve"> </w:t>
      </w:r>
      <w:r w:rsidR="002250F8">
        <w:fldChar w:fldCharType="begin"/>
      </w:r>
      <w:r w:rsidR="002250F8">
        <w:instrText xml:space="preserve"> REF _Ref429235063 \h </w:instrText>
      </w:r>
      <w:r w:rsidR="002250F8">
        <w:fldChar w:fldCharType="separate"/>
      </w:r>
      <w:r w:rsidR="00240817">
        <w:t xml:space="preserve">Figure </w:t>
      </w:r>
      <w:r w:rsidR="00240817">
        <w:rPr>
          <w:noProof/>
        </w:rPr>
        <w:t>13</w:t>
      </w:r>
      <w:r w:rsidR="002250F8">
        <w:fldChar w:fldCharType="end"/>
      </w:r>
      <w:r w:rsidR="002250F8">
        <w:t>. The performance is evaluated at the target system capacity, i.e. 52</w:t>
      </w:r>
      <w:r w:rsidR="00424659">
        <w:t>,</w:t>
      </w:r>
      <w:r w:rsidR="002250F8">
        <w:t>500 devices per sector</w:t>
      </w:r>
      <w:r w:rsidR="006A4012">
        <w:t>, and we see that the user data rate is satisfactory.</w:t>
      </w:r>
    </w:p>
    <w:p w14:paraId="079845B5" w14:textId="77777777" w:rsidR="003A5D9D" w:rsidRDefault="003A5D9D" w:rsidP="00424659"/>
    <w:p w14:paraId="4E01F292" w14:textId="77777777" w:rsidR="00DB1B3C" w:rsidRDefault="003A5D9D" w:rsidP="002250F8">
      <w:pPr>
        <w:jc w:val="center"/>
        <w:rPr>
          <w:noProof/>
          <w:lang w:val="en-US" w:eastAsia="en-US"/>
        </w:rPr>
      </w:pPr>
      <w:r w:rsidRPr="003A5D9D">
        <w:rPr>
          <w:noProof/>
          <w:lang w:val="en-US" w:eastAsia="en-US"/>
        </w:rPr>
        <w:t xml:space="preserve"> </w:t>
      </w:r>
      <w:r w:rsidR="00006DE2">
        <w:rPr>
          <w:noProof/>
          <w:lang w:val="sv-SE"/>
        </w:rPr>
        <w:drawing>
          <wp:inline distT="0" distB="0" distL="0" distR="0" wp14:anchorId="63D5FB47" wp14:editId="1BFAAC89">
            <wp:extent cx="4258800" cy="319320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5E0EA116" w14:textId="729CAF45" w:rsidR="00DB1B3C" w:rsidRDefault="00DB1B3C" w:rsidP="00DB1B3C">
      <w:pPr>
        <w:pStyle w:val="Caption"/>
      </w:pPr>
      <w:bookmarkStart w:id="15" w:name="_Ref434632031"/>
      <w:r>
        <w:t xml:space="preserve">Figure </w:t>
      </w:r>
      <w:r>
        <w:fldChar w:fldCharType="begin"/>
      </w:r>
      <w:r>
        <w:instrText xml:space="preserve"> SEQ Figure \* ARABIC </w:instrText>
      </w:r>
      <w:r>
        <w:fldChar w:fldCharType="separate"/>
      </w:r>
      <w:r w:rsidR="00240817">
        <w:rPr>
          <w:noProof/>
        </w:rPr>
        <w:t>12</w:t>
      </w:r>
      <w:r>
        <w:fldChar w:fldCharType="end"/>
      </w:r>
      <w:bookmarkEnd w:id="15"/>
      <w:r>
        <w:t>: Downlink performance of UEs at coverage limited locations. Performance is evaluated at the target system load of 52500 devices per sector.</w:t>
      </w:r>
    </w:p>
    <w:p w14:paraId="32698BDB" w14:textId="3BC3B54A" w:rsidR="002250F8" w:rsidRPr="00A0320B" w:rsidRDefault="00A0320B" w:rsidP="002250F8">
      <w:pPr>
        <w:jc w:val="center"/>
        <w:rPr>
          <w:lang w:val="sv-SE"/>
        </w:rPr>
      </w:pPr>
      <w:r>
        <w:rPr>
          <w:noProof/>
          <w:lang w:val="sv-SE"/>
        </w:rPr>
        <w:drawing>
          <wp:inline distT="0" distB="0" distL="0" distR="0" wp14:anchorId="71746596" wp14:editId="347F8AC0">
            <wp:extent cx="4258800" cy="319320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22A7B49F" w14:textId="5413614D" w:rsidR="002250F8" w:rsidRDefault="002250F8" w:rsidP="002250F8">
      <w:pPr>
        <w:pStyle w:val="Caption"/>
      </w:pPr>
      <w:bookmarkStart w:id="16" w:name="_Ref429235063"/>
      <w:r>
        <w:t xml:space="preserve">Figure </w:t>
      </w:r>
      <w:r>
        <w:fldChar w:fldCharType="begin"/>
      </w:r>
      <w:r>
        <w:instrText xml:space="preserve"> SEQ Figure \* ARABIC </w:instrText>
      </w:r>
      <w:r>
        <w:fldChar w:fldCharType="separate"/>
      </w:r>
      <w:r w:rsidR="00240817">
        <w:rPr>
          <w:noProof/>
        </w:rPr>
        <w:t>13</w:t>
      </w:r>
      <w:r>
        <w:fldChar w:fldCharType="end"/>
      </w:r>
      <w:bookmarkEnd w:id="16"/>
      <w:r>
        <w:t xml:space="preserve">: </w:t>
      </w:r>
      <w:r w:rsidR="00DB1B3C">
        <w:t>Uplink p</w:t>
      </w:r>
      <w:r>
        <w:t xml:space="preserve">erformance of UEs at coverage limited locations. Performance is evaluated at the target system load </w:t>
      </w:r>
      <w:r w:rsidR="0074490A">
        <w:t xml:space="preserve">of </w:t>
      </w:r>
      <w:r>
        <w:t>52500 devices per sector.</w:t>
      </w:r>
    </w:p>
    <w:p w14:paraId="44D8A95A" w14:textId="46E5CD84" w:rsidR="00303D81" w:rsidRPr="00303D81" w:rsidRDefault="00303D81" w:rsidP="00424659">
      <w:r>
        <w:t xml:space="preserve"> </w:t>
      </w:r>
    </w:p>
    <w:p w14:paraId="577D2741" w14:textId="46D839C0" w:rsidR="0005434F" w:rsidRPr="00763114" w:rsidRDefault="00683F57" w:rsidP="0005434F">
      <w:pPr>
        <w:pStyle w:val="Heading1"/>
      </w:pPr>
      <w:r w:rsidRPr="00763114">
        <w:lastRenderedPageBreak/>
        <w:t>Conclusions</w:t>
      </w:r>
    </w:p>
    <w:p w14:paraId="7DBA4FFD" w14:textId="78F5E64D" w:rsidR="00E923A6" w:rsidRDefault="00397CDF">
      <w:pPr>
        <w:pStyle w:val="BodyText"/>
      </w:pPr>
      <w:r>
        <w:t xml:space="preserve">In this contribution, the capacity of </w:t>
      </w:r>
      <w:r w:rsidR="003D7E34">
        <w:t xml:space="preserve">the different </w:t>
      </w:r>
      <w:r w:rsidR="00EA1675">
        <w:t>NB-</w:t>
      </w:r>
      <w:r w:rsidR="003D7E34">
        <w:t xml:space="preserve">IOT physical layer design options </w:t>
      </w:r>
      <w:r>
        <w:t xml:space="preserve">is </w:t>
      </w:r>
      <w:r w:rsidR="0074490A">
        <w:t>analysed</w:t>
      </w:r>
      <w:r>
        <w:t xml:space="preserve"> through system-level simulations. </w:t>
      </w:r>
      <w:r w:rsidR="0064114D">
        <w:t>This contribution provides updated results for the option of 2.5 kHz FDMA with GMSK, and further studies the capacity impact of PA back-off for SC-FDMA.</w:t>
      </w:r>
    </w:p>
    <w:p w14:paraId="14FCAA5C" w14:textId="600A18F4" w:rsidR="009212A9" w:rsidRDefault="009212A9">
      <w:pPr>
        <w:pStyle w:val="BodyText"/>
      </w:pPr>
      <w:r w:rsidRPr="00263018">
        <w:rPr>
          <w:b/>
        </w:rPr>
        <w:t>Observation 1:</w:t>
      </w:r>
      <w:r>
        <w:t xml:space="preserve"> </w:t>
      </w:r>
      <w:r w:rsidR="00563923">
        <w:t>SC-FDMA has twice the</w:t>
      </w:r>
      <w:r w:rsidR="00CE5815">
        <w:t xml:space="preserve"> uplink</w:t>
      </w:r>
      <w:r w:rsidR="00563923">
        <w:t xml:space="preserve"> capacity compared to FDMA with GMSK</w:t>
      </w:r>
      <w:r w:rsidR="00CE5815">
        <w:t>. This is especially the case when comparing purely the UL modulation design options, and keeping all other assumptions, such as frequency reuse factor, are the same.</w:t>
      </w:r>
    </w:p>
    <w:p w14:paraId="78372A19" w14:textId="007DC8B0" w:rsidR="00563923" w:rsidRDefault="00563923">
      <w:pPr>
        <w:pStyle w:val="BodyText"/>
      </w:pPr>
      <w:r w:rsidRPr="00263018">
        <w:rPr>
          <w:b/>
        </w:rPr>
        <w:t>Observation 2:</w:t>
      </w:r>
      <w:r>
        <w:t xml:space="preserve"> </w:t>
      </w:r>
      <w:r w:rsidR="007D56FA">
        <w:t xml:space="preserve">The capacity of 2.5 kHz FDMA with GMSK is very similar to the capacity with 5 kHz FDMA with GMSK. </w:t>
      </w:r>
    </w:p>
    <w:p w14:paraId="3BA67B36" w14:textId="0275C1FF" w:rsidR="004307EE" w:rsidRDefault="004307EE" w:rsidP="004307EE">
      <w:pPr>
        <w:spacing w:before="120"/>
      </w:pPr>
      <w:r w:rsidRPr="00A36084">
        <w:rPr>
          <w:b/>
        </w:rPr>
        <w:t>Observation</w:t>
      </w:r>
      <w:r>
        <w:rPr>
          <w:b/>
        </w:rPr>
        <w:t xml:space="preserve"> 3</w:t>
      </w:r>
      <w:r w:rsidRPr="00A36084">
        <w:rPr>
          <w:b/>
        </w:rPr>
        <w:t>:</w:t>
      </w:r>
      <w:r>
        <w:t xml:space="preserve"> SC-FDMA has </w:t>
      </w:r>
      <w:r w:rsidR="00135A5F">
        <w:t xml:space="preserve">3 times </w:t>
      </w:r>
      <w:r>
        <w:t xml:space="preserve">higher </w:t>
      </w:r>
      <w:r w:rsidR="00135A5F">
        <w:t xml:space="preserve">maximum </w:t>
      </w:r>
      <w:r>
        <w:t>spectral efficiency, which translates into a capacity advantage.</w:t>
      </w:r>
    </w:p>
    <w:p w14:paraId="7667CDA2" w14:textId="0BDD37C5" w:rsidR="007D56FA" w:rsidRDefault="007D56FA" w:rsidP="007D56FA">
      <w:pPr>
        <w:spacing w:before="120"/>
      </w:pPr>
      <w:r w:rsidRPr="00A36084">
        <w:rPr>
          <w:b/>
        </w:rPr>
        <w:t>Observation</w:t>
      </w:r>
      <w:r>
        <w:rPr>
          <w:b/>
        </w:rPr>
        <w:t xml:space="preserve"> 4</w:t>
      </w:r>
      <w:r w:rsidRPr="00A36084">
        <w:rPr>
          <w:b/>
        </w:rPr>
        <w:t>:</w:t>
      </w:r>
      <w:r>
        <w:t xml:space="preserve"> When a PA back-off is assumed to be needed to support multi-tone transmissions, the capacity of SC-FDMA is not reduced. </w:t>
      </w:r>
    </w:p>
    <w:p w14:paraId="157E5CED" w14:textId="1B30BCA3" w:rsidR="004307EE" w:rsidRDefault="004307EE" w:rsidP="004307EE">
      <w:pPr>
        <w:spacing w:before="120"/>
      </w:pPr>
      <w:r w:rsidRPr="00AA4E46">
        <w:rPr>
          <w:b/>
        </w:rPr>
        <w:t>Observation</w:t>
      </w:r>
      <w:r w:rsidR="007D56FA">
        <w:rPr>
          <w:b/>
        </w:rPr>
        <w:t xml:space="preserve"> 5:</w:t>
      </w:r>
      <w:r>
        <w:t xml:space="preserve"> </w:t>
      </w:r>
      <w:r w:rsidR="007D56FA">
        <w:t xml:space="preserve">Even with increased SNR targets </w:t>
      </w:r>
      <w:r w:rsidR="00802FA3">
        <w:t xml:space="preserve">the </w:t>
      </w:r>
      <w:r w:rsidR="007D56FA">
        <w:t xml:space="preserve">GMSK capacity </w:t>
      </w:r>
      <w:r w:rsidR="00802FA3">
        <w:t>claim</w:t>
      </w:r>
      <w:r w:rsidR="007C3FF7">
        <w:t>ed</w:t>
      </w:r>
      <w:r w:rsidR="00802FA3">
        <w:t xml:space="preserve"> </w:t>
      </w:r>
      <w:r w:rsidR="007D56FA">
        <w:t xml:space="preserve">in </w:t>
      </w:r>
      <w:r w:rsidR="007D56FA">
        <w:fldChar w:fldCharType="begin"/>
      </w:r>
      <w:r w:rsidR="007D56FA">
        <w:instrText xml:space="preserve"> REF _Ref435550196 \r \h </w:instrText>
      </w:r>
      <w:r w:rsidR="007D56FA">
        <w:fldChar w:fldCharType="separate"/>
      </w:r>
      <w:r w:rsidR="00240817">
        <w:t>[7]</w:t>
      </w:r>
      <w:r w:rsidR="007D56FA">
        <w:fldChar w:fldCharType="end"/>
      </w:r>
      <w:r w:rsidR="00802FA3">
        <w:t xml:space="preserve"> is not </w:t>
      </w:r>
      <w:r w:rsidR="007C3FF7">
        <w:t>reproduced</w:t>
      </w:r>
      <w:r w:rsidR="007D56FA">
        <w:t>.</w:t>
      </w:r>
    </w:p>
    <w:p w14:paraId="577D2743" w14:textId="77777777" w:rsidR="00CA53DD" w:rsidRPr="00763114" w:rsidRDefault="00CA53DD" w:rsidP="00253C39">
      <w:pPr>
        <w:pStyle w:val="Heading1"/>
      </w:pPr>
      <w:r w:rsidRPr="00763114">
        <w:t>References</w:t>
      </w:r>
    </w:p>
    <w:p w14:paraId="7B6260D5" w14:textId="77777777" w:rsidR="000C12D4" w:rsidRPr="00247D7A" w:rsidRDefault="000C12D4" w:rsidP="000C12D4">
      <w:pPr>
        <w:pStyle w:val="Reference"/>
        <w:numPr>
          <w:ilvl w:val="0"/>
          <w:numId w:val="8"/>
        </w:numPr>
      </w:pPr>
      <w:bookmarkStart w:id="17" w:name="_Ref430941298"/>
      <w:bookmarkStart w:id="18" w:name="_Ref397674406"/>
      <w:bookmarkStart w:id="19" w:name="_Ref403069021"/>
      <w:bookmarkStart w:id="20" w:name="_Ref384735847"/>
      <w:r w:rsidRPr="00247D7A">
        <w:t xml:space="preserve">RP-151621, “New Work Item: </w:t>
      </w:r>
      <w:proofErr w:type="spellStart"/>
      <w:r w:rsidRPr="00247D7A">
        <w:t>NarrowBand</w:t>
      </w:r>
      <w:proofErr w:type="spellEnd"/>
      <w:r w:rsidRPr="00247D7A">
        <w:t xml:space="preserve"> IOT (NB-IOT)”, source Qualcomm Incorporated, RAN#69, Sep 14</w:t>
      </w:r>
      <w:r w:rsidRPr="00247D7A">
        <w:rPr>
          <w:vertAlign w:val="superscript"/>
        </w:rPr>
        <w:t>th</w:t>
      </w:r>
      <w:r w:rsidRPr="00247D7A">
        <w:t xml:space="preserve"> to 16</w:t>
      </w:r>
      <w:r w:rsidRPr="00247D7A">
        <w:rPr>
          <w:vertAlign w:val="superscript"/>
        </w:rPr>
        <w:t>th</w:t>
      </w:r>
      <w:r w:rsidRPr="00247D7A">
        <w:t>, 2015, Phoenix, USA.</w:t>
      </w:r>
      <w:bookmarkEnd w:id="17"/>
      <w:r w:rsidRPr="00247D7A">
        <w:t xml:space="preserve"> </w:t>
      </w:r>
    </w:p>
    <w:p w14:paraId="43774747" w14:textId="77777777" w:rsidR="000C12D4" w:rsidRPr="004A7311" w:rsidRDefault="000C12D4" w:rsidP="000C12D4">
      <w:pPr>
        <w:pStyle w:val="Reference"/>
      </w:pPr>
      <w:bookmarkStart w:id="21" w:name="_Ref434632457"/>
      <w:r w:rsidRPr="004A7311">
        <w:t xml:space="preserve">3GPP TR 45.820, “Technical Specification Group GSM/EDGE Radio Access Network; Cellular System Support for Ultra Low Complexity and Low Throughput Internet of Things,” </w:t>
      </w:r>
      <w:r>
        <w:t>Aug. 2015, v.2.0</w:t>
      </w:r>
      <w:r w:rsidRPr="004A7311">
        <w:t>.0.</w:t>
      </w:r>
      <w:bookmarkEnd w:id="21"/>
    </w:p>
    <w:p w14:paraId="39BCAA35" w14:textId="77777777" w:rsidR="00D2488F" w:rsidRDefault="00D2488F" w:rsidP="00D2488F">
      <w:pPr>
        <w:pStyle w:val="Reference"/>
      </w:pPr>
      <w:bookmarkStart w:id="22" w:name="_Ref434632666"/>
      <w:r w:rsidRPr="0027017A">
        <w:t>GP-15</w:t>
      </w:r>
      <w:r>
        <w:t>0782</w:t>
      </w:r>
      <w:proofErr w:type="gramStart"/>
      <w:r>
        <w:t>;</w:t>
      </w:r>
      <w:r w:rsidRPr="0027017A">
        <w:t xml:space="preserve"> ”</w:t>
      </w:r>
      <w:proofErr w:type="gramEnd"/>
      <w:r>
        <w:t>Narrowband LTE –</w:t>
      </w:r>
      <w:r w:rsidRPr="005C41E2">
        <w:t xml:space="preserve"> PDSCH and PUSCH design and performance</w:t>
      </w:r>
      <w:r w:rsidRPr="0027017A">
        <w:t xml:space="preserve">,” </w:t>
      </w:r>
      <w:r>
        <w:t>Ericsson LM, Nokia Networks;</w:t>
      </w:r>
      <w:r w:rsidRPr="0027017A">
        <w:t xml:space="preserve"> GERAN#67</w:t>
      </w:r>
      <w:r w:rsidRPr="00E45C95">
        <w:t>; August 10</w:t>
      </w:r>
      <w:r w:rsidRPr="00C90836">
        <w:rPr>
          <w:vertAlign w:val="superscript"/>
        </w:rPr>
        <w:t>th</w:t>
      </w:r>
      <w:r w:rsidRPr="00E45C95">
        <w:t xml:space="preserve"> to 13</w:t>
      </w:r>
      <w:r w:rsidRPr="00C90836">
        <w:rPr>
          <w:vertAlign w:val="superscript"/>
        </w:rPr>
        <w:t>th</w:t>
      </w:r>
      <w:r w:rsidRPr="00E45C95">
        <w:t xml:space="preserve">, 2015; Yin </w:t>
      </w:r>
      <w:proofErr w:type="spellStart"/>
      <w:r w:rsidRPr="00E45C95">
        <w:t>Chuan</w:t>
      </w:r>
      <w:proofErr w:type="spellEnd"/>
      <w:r w:rsidRPr="00E45C95">
        <w:t>, China</w:t>
      </w:r>
      <w:r>
        <w:t>.</w:t>
      </w:r>
      <w:bookmarkEnd w:id="22"/>
    </w:p>
    <w:p w14:paraId="5992F8FF" w14:textId="5819C6E5" w:rsidR="00A3545B" w:rsidRDefault="00A3545B" w:rsidP="00F3647D">
      <w:pPr>
        <w:pStyle w:val="Reference"/>
      </w:pPr>
      <w:bookmarkStart w:id="23" w:name="_Ref435193821"/>
      <w:r w:rsidRPr="00A3545B">
        <w:t>R1-157397</w:t>
      </w:r>
      <w:r>
        <w:t>, “</w:t>
      </w:r>
      <w:r w:rsidRPr="00A3545B">
        <w:t>NB-</w:t>
      </w:r>
      <w:proofErr w:type="spellStart"/>
      <w:r w:rsidRPr="00A3545B">
        <w:t>IoT</w:t>
      </w:r>
      <w:proofErr w:type="spellEnd"/>
      <w:r w:rsidRPr="00A3545B">
        <w:t xml:space="preserve"> – SC-FDMA UL spectrum characteristics, PAPR, and relative cubic metric</w:t>
      </w:r>
      <w:r>
        <w:t xml:space="preserve">”, source Ericsson, </w:t>
      </w:r>
      <w:r w:rsidR="00F3647D" w:rsidRPr="00F3647D">
        <w:t>3GPP TSG-RAN1 #83</w:t>
      </w:r>
      <w:r w:rsidR="00F3647D">
        <w:t xml:space="preserve">, </w:t>
      </w:r>
      <w:r>
        <w:t>15 - 22 Nov 2015, Anaheim, US</w:t>
      </w:r>
      <w:bookmarkEnd w:id="23"/>
    </w:p>
    <w:p w14:paraId="3CFBCC27" w14:textId="2180062D" w:rsidR="00423A13" w:rsidRDefault="00423A13" w:rsidP="00423A13">
      <w:pPr>
        <w:pStyle w:val="Reference"/>
      </w:pPr>
      <w:bookmarkStart w:id="24" w:name="_Ref435549082"/>
      <w:r w:rsidRPr="00423A13">
        <w:t>R1-156930</w:t>
      </w:r>
      <w:r>
        <w:t>, “</w:t>
      </w:r>
      <w:r w:rsidRPr="00423A13">
        <w:t>Uplink FDMA physical layer design updates</w:t>
      </w:r>
      <w:r>
        <w:t xml:space="preserve">”, source </w:t>
      </w:r>
      <w:proofErr w:type="spellStart"/>
      <w:r w:rsidRPr="00423A13">
        <w:t>Neul</w:t>
      </w:r>
      <w:proofErr w:type="spellEnd"/>
      <w:r w:rsidRPr="00423A13">
        <w:t xml:space="preserve">, Huawei, </w:t>
      </w:r>
      <w:proofErr w:type="spellStart"/>
      <w:r w:rsidRPr="00423A13">
        <w:t>HiSilicon</w:t>
      </w:r>
      <w:proofErr w:type="spellEnd"/>
      <w:r>
        <w:t xml:space="preserve">, </w:t>
      </w:r>
      <w:r w:rsidRPr="00F3647D">
        <w:t>3GPP TSG-RAN1 #83</w:t>
      </w:r>
      <w:r>
        <w:t>, 15 - 22 Nov 2015, Anaheim, US</w:t>
      </w:r>
      <w:bookmarkEnd w:id="24"/>
    </w:p>
    <w:p w14:paraId="0F4C7123" w14:textId="7A41E557" w:rsidR="00FC7972" w:rsidRDefault="00FC7972" w:rsidP="00FC7972">
      <w:pPr>
        <w:pStyle w:val="Reference"/>
      </w:pPr>
      <w:bookmarkStart w:id="25" w:name="_Ref435550195"/>
      <w:r w:rsidRPr="00FC7972">
        <w:t>R1-157341</w:t>
      </w:r>
      <w:r>
        <w:t>, “</w:t>
      </w:r>
      <w:r w:rsidRPr="00FC7972">
        <w:t>Summary of evaluation results</w:t>
      </w:r>
      <w:r>
        <w:t xml:space="preserve">”, source Huawei, </w:t>
      </w:r>
      <w:proofErr w:type="spellStart"/>
      <w:r>
        <w:t>HiSilicon</w:t>
      </w:r>
      <w:proofErr w:type="spellEnd"/>
      <w:r>
        <w:t xml:space="preserve">, </w:t>
      </w:r>
      <w:r w:rsidRPr="00F3647D">
        <w:t>3GPP TSG-RAN1 #83</w:t>
      </w:r>
      <w:r>
        <w:t>, 15 - 22 Nov 2015, Anaheim, US</w:t>
      </w:r>
      <w:bookmarkEnd w:id="25"/>
    </w:p>
    <w:p w14:paraId="4C77CEF8" w14:textId="0829DC8E" w:rsidR="00FC7972" w:rsidRDefault="00FC7972" w:rsidP="00FC7972">
      <w:pPr>
        <w:pStyle w:val="Reference"/>
      </w:pPr>
      <w:bookmarkStart w:id="26" w:name="_Ref435550196"/>
      <w:r w:rsidRPr="00FC7972">
        <w:t>R1- 156468</w:t>
      </w:r>
      <w:r>
        <w:t>, “</w:t>
      </w:r>
      <w:r w:rsidRPr="00FC7972">
        <w:t>Uplink Capacity Evaluation in Standalone Operation</w:t>
      </w:r>
      <w:r>
        <w:t>”,</w:t>
      </w:r>
      <w:r w:rsidRPr="00FC7972">
        <w:t xml:space="preserve"> </w:t>
      </w:r>
      <w:r>
        <w:t xml:space="preserve">source Huawei, </w:t>
      </w:r>
      <w:proofErr w:type="spellStart"/>
      <w:r>
        <w:t>HiSilicon</w:t>
      </w:r>
      <w:proofErr w:type="spellEnd"/>
      <w:r>
        <w:t xml:space="preserve">, </w:t>
      </w:r>
      <w:r w:rsidRPr="00F3647D">
        <w:t>3GPP TSG-RAN1 #83</w:t>
      </w:r>
      <w:r>
        <w:t>, 15 - 22 Nov 2015, Anaheim, US</w:t>
      </w:r>
      <w:bookmarkEnd w:id="26"/>
    </w:p>
    <w:p w14:paraId="6ED03E83" w14:textId="77777777" w:rsidR="00184770" w:rsidRDefault="00184770" w:rsidP="00184770">
      <w:pPr>
        <w:pStyle w:val="Reference"/>
      </w:pPr>
      <w:bookmarkStart w:id="27" w:name="_Ref435557263"/>
      <w:r w:rsidRPr="00184770">
        <w:t>R1-157398</w:t>
      </w:r>
      <w:r>
        <w:t>, “</w:t>
      </w:r>
      <w:r w:rsidRPr="00184770">
        <w:t>NB-</w:t>
      </w:r>
      <w:proofErr w:type="spellStart"/>
      <w:r w:rsidRPr="00184770">
        <w:t>IoT</w:t>
      </w:r>
      <w:proofErr w:type="spellEnd"/>
      <w:r w:rsidRPr="00184770">
        <w:t xml:space="preserve"> - System level evaluation and comparison - standalone</w:t>
      </w:r>
      <w:r>
        <w:t xml:space="preserve">”, source Ericsson, </w:t>
      </w:r>
      <w:r w:rsidRPr="00F3647D">
        <w:t>3GPP TSG-RAN1 #83</w:t>
      </w:r>
      <w:r>
        <w:t>, 15 - 22 Nov 2015, Anaheim, US</w:t>
      </w:r>
      <w:bookmarkEnd w:id="27"/>
    </w:p>
    <w:p w14:paraId="404FE11A" w14:textId="2F3B8410" w:rsidR="00184770" w:rsidRDefault="00184770" w:rsidP="00184770">
      <w:pPr>
        <w:pStyle w:val="Reference"/>
        <w:numPr>
          <w:ilvl w:val="0"/>
          <w:numId w:val="0"/>
        </w:numPr>
        <w:ind w:left="567"/>
      </w:pPr>
    </w:p>
    <w:bookmarkEnd w:id="18"/>
    <w:bookmarkEnd w:id="19"/>
    <w:bookmarkEnd w:id="20"/>
    <w:p w14:paraId="30C621AE" w14:textId="6E1452E2" w:rsidR="005B2A43" w:rsidRPr="00763114" w:rsidRDefault="005B2A43" w:rsidP="00263018">
      <w:pPr>
        <w:pStyle w:val="Reference"/>
        <w:numPr>
          <w:ilvl w:val="0"/>
          <w:numId w:val="0"/>
        </w:numPr>
        <w:ind w:left="567" w:hanging="567"/>
      </w:pPr>
    </w:p>
    <w:sectPr w:rsidR="005B2A43" w:rsidRPr="00763114" w:rsidSect="003B5666">
      <w:headerReference w:type="default" r:id="rId22"/>
      <w:footerReference w:type="default" r:id="rId23"/>
      <w:headerReference w:type="first" r:id="rId24"/>
      <w:footerReference w:type="first" r:id="rId2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19597" w14:textId="77777777" w:rsidR="00F641BE" w:rsidRDefault="00F641BE">
      <w:pPr>
        <w:spacing w:after="0"/>
      </w:pPr>
      <w:r>
        <w:separator/>
      </w:r>
    </w:p>
  </w:endnote>
  <w:endnote w:type="continuationSeparator" w:id="0">
    <w:p w14:paraId="26C00772" w14:textId="77777777" w:rsidR="00F641BE" w:rsidRDefault="00F641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61919" w:rsidRDefault="00061919">
    <w:pPr>
      <w:pStyle w:val="Footer"/>
      <w:ind w:right="-1521"/>
    </w:pPr>
    <w:r>
      <w:rPr>
        <w:rStyle w:val="PageNumber"/>
      </w:rPr>
      <w:fldChar w:fldCharType="begin"/>
    </w:r>
    <w:r>
      <w:rPr>
        <w:rStyle w:val="PageNumber"/>
      </w:rPr>
      <w:instrText xml:space="preserve"> PAGE </w:instrText>
    </w:r>
    <w:r>
      <w:rPr>
        <w:rStyle w:val="PageNumber"/>
      </w:rPr>
      <w:fldChar w:fldCharType="separate"/>
    </w:r>
    <w:r w:rsidR="00240817">
      <w:rPr>
        <w:rStyle w:val="PageNumber"/>
      </w:rPr>
      <w:t>7</w:t>
    </w:r>
    <w:r>
      <w:rPr>
        <w:rStyle w:val="PageNumber"/>
      </w:rPr>
      <w:fldChar w:fldCharType="end"/>
    </w:r>
    <w:bookmarkStart w:id="2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0817">
      <w:rPr>
        <w:rStyle w:val="PageNumber"/>
      </w:rPr>
      <w:t>11</w:t>
    </w:r>
    <w:r>
      <w:rPr>
        <w:rStyle w:val="PageNumber"/>
      </w:rPr>
      <w:fldChar w:fldCharType="end"/>
    </w:r>
    <w:r>
      <w:rPr>
        <w:rStyle w:val="PageNumber"/>
      </w:rPr>
      <w:t>)</w:t>
    </w:r>
    <w:bookmarkEnd w:id="2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61919" w:rsidRDefault="00061919">
    <w:pPr>
      <w:pStyle w:val="Footer"/>
    </w:pPr>
    <w:r>
      <w:rPr>
        <w:rStyle w:val="PageNumber"/>
      </w:rPr>
      <w:fldChar w:fldCharType="begin"/>
    </w:r>
    <w:r>
      <w:rPr>
        <w:rStyle w:val="PageNumber"/>
      </w:rPr>
      <w:instrText xml:space="preserve"> PAGE </w:instrText>
    </w:r>
    <w:r>
      <w:rPr>
        <w:rStyle w:val="PageNumber"/>
      </w:rPr>
      <w:fldChar w:fldCharType="separate"/>
    </w:r>
    <w:r w:rsidR="0024081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0817">
      <w:rPr>
        <w:rStyle w:val="PageNumber"/>
      </w:rPr>
      <w:t>11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52018" w14:textId="77777777" w:rsidR="00F641BE" w:rsidRDefault="00F641BE">
      <w:pPr>
        <w:spacing w:after="0"/>
      </w:pPr>
      <w:r>
        <w:separator/>
      </w:r>
    </w:p>
  </w:footnote>
  <w:footnote w:type="continuationSeparator" w:id="0">
    <w:p w14:paraId="76057079" w14:textId="77777777" w:rsidR="00F641BE" w:rsidRDefault="00F641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61919" w:rsidRPr="006A0FC7" w:rsidRDefault="00061919"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61919" w:rsidRPr="00BF30DA" w:rsidRDefault="00061919"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21113E9E"/>
    <w:multiLevelType w:val="singleLevel"/>
    <w:tmpl w:val="B4D4D9E8"/>
    <w:lvl w:ilvl="0">
      <w:start w:val="1"/>
      <w:numFmt w:val="decimal"/>
      <w:lvlText w:val="[%1]"/>
      <w:lvlJc w:val="left"/>
      <w:pPr>
        <w:tabs>
          <w:tab w:val="num" w:pos="360"/>
        </w:tabs>
        <w:ind w:left="360" w:hanging="360"/>
      </w:pPr>
    </w:lvl>
  </w:abstractNum>
  <w:abstractNum w:abstractNumId="10">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5E7436"/>
    <w:multiLevelType w:val="hybridMultilevel"/>
    <w:tmpl w:val="08120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CF4429D"/>
    <w:multiLevelType w:val="hybridMultilevel"/>
    <w:tmpl w:val="6656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0"/>
  </w:num>
  <w:num w:numId="4">
    <w:abstractNumId w:val="1"/>
  </w:num>
  <w:num w:numId="5">
    <w:abstractNumId w:val="24"/>
  </w:num>
  <w:num w:numId="6">
    <w:abstractNumId w:val="15"/>
  </w:num>
  <w:num w:numId="7">
    <w:abstractNumId w:val="7"/>
  </w:num>
  <w:num w:numId="8">
    <w:abstractNumId w:val="1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1"/>
  </w:num>
  <w:num w:numId="20">
    <w:abstractNumId w:val="4"/>
  </w:num>
  <w:num w:numId="21">
    <w:abstractNumId w:val="16"/>
  </w:num>
  <w:num w:numId="22">
    <w:abstractNumId w:val="3"/>
  </w:num>
  <w:num w:numId="23">
    <w:abstractNumId w:val="22"/>
  </w:num>
  <w:num w:numId="24">
    <w:abstractNumId w:val="2"/>
  </w:num>
  <w:num w:numId="25">
    <w:abstractNumId w:val="12"/>
  </w:num>
  <w:num w:numId="26">
    <w:abstractNumId w:val="14"/>
  </w:num>
  <w:num w:numId="27">
    <w:abstractNumId w:val="5"/>
  </w:num>
  <w:num w:numId="28">
    <w:abstractNumId w:val="0"/>
  </w:num>
  <w:num w:numId="29">
    <w:abstractNumId w:val="13"/>
  </w:num>
  <w:num w:numId="30">
    <w:abstractNumId w:val="20"/>
  </w:num>
  <w:num w:numId="31">
    <w:abstractNumId w:val="18"/>
  </w:num>
  <w:num w:numId="32">
    <w:abstractNumId w:val="25"/>
  </w:num>
  <w:num w:numId="33">
    <w:abstractNumId w:val="19"/>
  </w:num>
  <w:num w:numId="34">
    <w:abstractNumId w:val="21"/>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6A77"/>
    <w:rsid w:val="00006DE2"/>
    <w:rsid w:val="00010AEE"/>
    <w:rsid w:val="00013F4F"/>
    <w:rsid w:val="00017366"/>
    <w:rsid w:val="00021744"/>
    <w:rsid w:val="000237B9"/>
    <w:rsid w:val="0002423D"/>
    <w:rsid w:val="0002572A"/>
    <w:rsid w:val="00027311"/>
    <w:rsid w:val="00027D60"/>
    <w:rsid w:val="00031103"/>
    <w:rsid w:val="00035879"/>
    <w:rsid w:val="00036AAB"/>
    <w:rsid w:val="00037632"/>
    <w:rsid w:val="00042044"/>
    <w:rsid w:val="00042A4F"/>
    <w:rsid w:val="0004621B"/>
    <w:rsid w:val="0005061C"/>
    <w:rsid w:val="000530D9"/>
    <w:rsid w:val="0005365D"/>
    <w:rsid w:val="0005434F"/>
    <w:rsid w:val="00055864"/>
    <w:rsid w:val="00055E4A"/>
    <w:rsid w:val="00055E6D"/>
    <w:rsid w:val="00057B28"/>
    <w:rsid w:val="00061919"/>
    <w:rsid w:val="000670A5"/>
    <w:rsid w:val="00067182"/>
    <w:rsid w:val="0007045A"/>
    <w:rsid w:val="000721FC"/>
    <w:rsid w:val="00072382"/>
    <w:rsid w:val="0007755A"/>
    <w:rsid w:val="000825C5"/>
    <w:rsid w:val="000857F2"/>
    <w:rsid w:val="00087350"/>
    <w:rsid w:val="0008796B"/>
    <w:rsid w:val="00091A7F"/>
    <w:rsid w:val="00093C23"/>
    <w:rsid w:val="00093FC2"/>
    <w:rsid w:val="00096C16"/>
    <w:rsid w:val="000A19A8"/>
    <w:rsid w:val="000A207F"/>
    <w:rsid w:val="000A29C6"/>
    <w:rsid w:val="000A41FE"/>
    <w:rsid w:val="000A47FA"/>
    <w:rsid w:val="000A4FF9"/>
    <w:rsid w:val="000A6388"/>
    <w:rsid w:val="000A6510"/>
    <w:rsid w:val="000B2C9C"/>
    <w:rsid w:val="000B31DD"/>
    <w:rsid w:val="000B3334"/>
    <w:rsid w:val="000B462B"/>
    <w:rsid w:val="000B484A"/>
    <w:rsid w:val="000B5B8E"/>
    <w:rsid w:val="000C12D4"/>
    <w:rsid w:val="000C18F3"/>
    <w:rsid w:val="000C2715"/>
    <w:rsid w:val="000C3C4D"/>
    <w:rsid w:val="000C7570"/>
    <w:rsid w:val="000C7F06"/>
    <w:rsid w:val="000D036A"/>
    <w:rsid w:val="000D451A"/>
    <w:rsid w:val="000D4E16"/>
    <w:rsid w:val="000E114A"/>
    <w:rsid w:val="000E1194"/>
    <w:rsid w:val="000E2D68"/>
    <w:rsid w:val="000E2DED"/>
    <w:rsid w:val="000E3586"/>
    <w:rsid w:val="000E37DA"/>
    <w:rsid w:val="000E4E27"/>
    <w:rsid w:val="000E5536"/>
    <w:rsid w:val="000E63C3"/>
    <w:rsid w:val="000E65D0"/>
    <w:rsid w:val="000E71AB"/>
    <w:rsid w:val="000E7F68"/>
    <w:rsid w:val="000F2D08"/>
    <w:rsid w:val="000F2F61"/>
    <w:rsid w:val="000F5A66"/>
    <w:rsid w:val="000F623B"/>
    <w:rsid w:val="000F6CDC"/>
    <w:rsid w:val="00100F09"/>
    <w:rsid w:val="001011D7"/>
    <w:rsid w:val="001015B9"/>
    <w:rsid w:val="00101845"/>
    <w:rsid w:val="001033FB"/>
    <w:rsid w:val="00104263"/>
    <w:rsid w:val="001117D9"/>
    <w:rsid w:val="00111F79"/>
    <w:rsid w:val="00114D8B"/>
    <w:rsid w:val="001203AA"/>
    <w:rsid w:val="00125368"/>
    <w:rsid w:val="001254C4"/>
    <w:rsid w:val="00130ED8"/>
    <w:rsid w:val="001311CC"/>
    <w:rsid w:val="001354B2"/>
    <w:rsid w:val="00135A5F"/>
    <w:rsid w:val="00140C24"/>
    <w:rsid w:val="00142231"/>
    <w:rsid w:val="00142630"/>
    <w:rsid w:val="00142768"/>
    <w:rsid w:val="00146EC4"/>
    <w:rsid w:val="00147E0D"/>
    <w:rsid w:val="00151C32"/>
    <w:rsid w:val="00152595"/>
    <w:rsid w:val="0015448A"/>
    <w:rsid w:val="001547A1"/>
    <w:rsid w:val="0016019B"/>
    <w:rsid w:val="00160AA0"/>
    <w:rsid w:val="001636B7"/>
    <w:rsid w:val="00167432"/>
    <w:rsid w:val="0017094F"/>
    <w:rsid w:val="00172588"/>
    <w:rsid w:val="001726EA"/>
    <w:rsid w:val="0017281E"/>
    <w:rsid w:val="001738F4"/>
    <w:rsid w:val="00174411"/>
    <w:rsid w:val="00174542"/>
    <w:rsid w:val="00174768"/>
    <w:rsid w:val="00177929"/>
    <w:rsid w:val="0018252D"/>
    <w:rsid w:val="0018259F"/>
    <w:rsid w:val="001825D8"/>
    <w:rsid w:val="00182960"/>
    <w:rsid w:val="001832F2"/>
    <w:rsid w:val="00184770"/>
    <w:rsid w:val="00184BE0"/>
    <w:rsid w:val="001852C0"/>
    <w:rsid w:val="001857B2"/>
    <w:rsid w:val="0018745C"/>
    <w:rsid w:val="00190C7B"/>
    <w:rsid w:val="00191B11"/>
    <w:rsid w:val="00191C6B"/>
    <w:rsid w:val="00194A90"/>
    <w:rsid w:val="00197679"/>
    <w:rsid w:val="001A0E97"/>
    <w:rsid w:val="001A3ADC"/>
    <w:rsid w:val="001A5A59"/>
    <w:rsid w:val="001B3005"/>
    <w:rsid w:val="001B5230"/>
    <w:rsid w:val="001B5493"/>
    <w:rsid w:val="001B58B6"/>
    <w:rsid w:val="001C6000"/>
    <w:rsid w:val="001C7E6B"/>
    <w:rsid w:val="001D06AC"/>
    <w:rsid w:val="001D07A5"/>
    <w:rsid w:val="001E1C9C"/>
    <w:rsid w:val="001E1E68"/>
    <w:rsid w:val="001E213E"/>
    <w:rsid w:val="001E272E"/>
    <w:rsid w:val="001E582A"/>
    <w:rsid w:val="001E7AF7"/>
    <w:rsid w:val="001F0CE9"/>
    <w:rsid w:val="001F2CDA"/>
    <w:rsid w:val="001F3714"/>
    <w:rsid w:val="001F39B2"/>
    <w:rsid w:val="001F6E69"/>
    <w:rsid w:val="002032D4"/>
    <w:rsid w:val="0020402C"/>
    <w:rsid w:val="00206BFE"/>
    <w:rsid w:val="00212FE8"/>
    <w:rsid w:val="002140CE"/>
    <w:rsid w:val="0021523D"/>
    <w:rsid w:val="00215E69"/>
    <w:rsid w:val="00220E5C"/>
    <w:rsid w:val="00224F96"/>
    <w:rsid w:val="00225036"/>
    <w:rsid w:val="002250F8"/>
    <w:rsid w:val="002257C9"/>
    <w:rsid w:val="002267D8"/>
    <w:rsid w:val="00232CFF"/>
    <w:rsid w:val="002351BF"/>
    <w:rsid w:val="00235772"/>
    <w:rsid w:val="00235E4A"/>
    <w:rsid w:val="00236C13"/>
    <w:rsid w:val="0023778C"/>
    <w:rsid w:val="00237F4E"/>
    <w:rsid w:val="00240817"/>
    <w:rsid w:val="0024476B"/>
    <w:rsid w:val="00247898"/>
    <w:rsid w:val="002533A6"/>
    <w:rsid w:val="00253C39"/>
    <w:rsid w:val="0025520E"/>
    <w:rsid w:val="00255DB5"/>
    <w:rsid w:val="00262F88"/>
    <w:rsid w:val="00263018"/>
    <w:rsid w:val="00263976"/>
    <w:rsid w:val="00264921"/>
    <w:rsid w:val="00265439"/>
    <w:rsid w:val="0027285A"/>
    <w:rsid w:val="002778F3"/>
    <w:rsid w:val="002836AC"/>
    <w:rsid w:val="00284DCD"/>
    <w:rsid w:val="00285772"/>
    <w:rsid w:val="00287364"/>
    <w:rsid w:val="00287D33"/>
    <w:rsid w:val="00291AA4"/>
    <w:rsid w:val="00292A88"/>
    <w:rsid w:val="00294EBB"/>
    <w:rsid w:val="002951FC"/>
    <w:rsid w:val="002A5DC6"/>
    <w:rsid w:val="002B07C7"/>
    <w:rsid w:val="002B11BE"/>
    <w:rsid w:val="002B368A"/>
    <w:rsid w:val="002B4986"/>
    <w:rsid w:val="002B5026"/>
    <w:rsid w:val="002B6A45"/>
    <w:rsid w:val="002B75A7"/>
    <w:rsid w:val="002C318A"/>
    <w:rsid w:val="002C3811"/>
    <w:rsid w:val="002C3899"/>
    <w:rsid w:val="002C39D5"/>
    <w:rsid w:val="002C6DB8"/>
    <w:rsid w:val="002D14F3"/>
    <w:rsid w:val="002D3252"/>
    <w:rsid w:val="002D43CF"/>
    <w:rsid w:val="002D4EAD"/>
    <w:rsid w:val="002D57F2"/>
    <w:rsid w:val="002D5B4C"/>
    <w:rsid w:val="002E3547"/>
    <w:rsid w:val="002E499D"/>
    <w:rsid w:val="002E4B80"/>
    <w:rsid w:val="002F360D"/>
    <w:rsid w:val="002F3FAE"/>
    <w:rsid w:val="002F4BED"/>
    <w:rsid w:val="002F6BC2"/>
    <w:rsid w:val="003013DF"/>
    <w:rsid w:val="00303D81"/>
    <w:rsid w:val="00312CFF"/>
    <w:rsid w:val="003140E8"/>
    <w:rsid w:val="00314D55"/>
    <w:rsid w:val="00320D05"/>
    <w:rsid w:val="0032167B"/>
    <w:rsid w:val="00322939"/>
    <w:rsid w:val="00322C8D"/>
    <w:rsid w:val="00323F7A"/>
    <w:rsid w:val="00324758"/>
    <w:rsid w:val="00327656"/>
    <w:rsid w:val="003305C3"/>
    <w:rsid w:val="00332C78"/>
    <w:rsid w:val="00335026"/>
    <w:rsid w:val="003379B0"/>
    <w:rsid w:val="00346BCA"/>
    <w:rsid w:val="003526DC"/>
    <w:rsid w:val="0035309F"/>
    <w:rsid w:val="00353DCF"/>
    <w:rsid w:val="00355DC7"/>
    <w:rsid w:val="003578EB"/>
    <w:rsid w:val="00357AEF"/>
    <w:rsid w:val="00357C52"/>
    <w:rsid w:val="00357D7F"/>
    <w:rsid w:val="0036159C"/>
    <w:rsid w:val="003625B9"/>
    <w:rsid w:val="00362B1B"/>
    <w:rsid w:val="00367B9D"/>
    <w:rsid w:val="00371E8A"/>
    <w:rsid w:val="00371EAE"/>
    <w:rsid w:val="0037332C"/>
    <w:rsid w:val="0038104D"/>
    <w:rsid w:val="00383CE6"/>
    <w:rsid w:val="0038496E"/>
    <w:rsid w:val="00384D96"/>
    <w:rsid w:val="00390692"/>
    <w:rsid w:val="0039083F"/>
    <w:rsid w:val="00394B08"/>
    <w:rsid w:val="00397CDF"/>
    <w:rsid w:val="003A0C22"/>
    <w:rsid w:val="003A265E"/>
    <w:rsid w:val="003A5D9D"/>
    <w:rsid w:val="003A6896"/>
    <w:rsid w:val="003B2F31"/>
    <w:rsid w:val="003B5666"/>
    <w:rsid w:val="003B683D"/>
    <w:rsid w:val="003B76C9"/>
    <w:rsid w:val="003C2EFD"/>
    <w:rsid w:val="003C72EE"/>
    <w:rsid w:val="003D15A1"/>
    <w:rsid w:val="003D273D"/>
    <w:rsid w:val="003D3EEA"/>
    <w:rsid w:val="003D7E34"/>
    <w:rsid w:val="003E2B02"/>
    <w:rsid w:val="003E3C3F"/>
    <w:rsid w:val="003E54AE"/>
    <w:rsid w:val="003E6309"/>
    <w:rsid w:val="003E6CBA"/>
    <w:rsid w:val="003E70DE"/>
    <w:rsid w:val="003E7A09"/>
    <w:rsid w:val="003F0D77"/>
    <w:rsid w:val="003F1E4A"/>
    <w:rsid w:val="003F20EB"/>
    <w:rsid w:val="003F2D08"/>
    <w:rsid w:val="003F2DD5"/>
    <w:rsid w:val="003F411D"/>
    <w:rsid w:val="003F430C"/>
    <w:rsid w:val="003F4A9C"/>
    <w:rsid w:val="003F614C"/>
    <w:rsid w:val="003F6C3A"/>
    <w:rsid w:val="003F76F6"/>
    <w:rsid w:val="0040291E"/>
    <w:rsid w:val="00403F75"/>
    <w:rsid w:val="00405F52"/>
    <w:rsid w:val="004077BE"/>
    <w:rsid w:val="00411778"/>
    <w:rsid w:val="00414004"/>
    <w:rsid w:val="00414D8B"/>
    <w:rsid w:val="00414F7A"/>
    <w:rsid w:val="00420701"/>
    <w:rsid w:val="00420745"/>
    <w:rsid w:val="00423A13"/>
    <w:rsid w:val="00424659"/>
    <w:rsid w:val="00425B94"/>
    <w:rsid w:val="004265C7"/>
    <w:rsid w:val="00427DC8"/>
    <w:rsid w:val="004307EE"/>
    <w:rsid w:val="00436CB0"/>
    <w:rsid w:val="004373A6"/>
    <w:rsid w:val="004375FE"/>
    <w:rsid w:val="00437704"/>
    <w:rsid w:val="00440089"/>
    <w:rsid w:val="0044350C"/>
    <w:rsid w:val="00443BBF"/>
    <w:rsid w:val="00447F5B"/>
    <w:rsid w:val="00453617"/>
    <w:rsid w:val="00456CBD"/>
    <w:rsid w:val="004576AA"/>
    <w:rsid w:val="00457C55"/>
    <w:rsid w:val="00461F41"/>
    <w:rsid w:val="004626F7"/>
    <w:rsid w:val="00462753"/>
    <w:rsid w:val="00464786"/>
    <w:rsid w:val="00472397"/>
    <w:rsid w:val="0047268E"/>
    <w:rsid w:val="004743C0"/>
    <w:rsid w:val="00476D85"/>
    <w:rsid w:val="004779A9"/>
    <w:rsid w:val="00482B1A"/>
    <w:rsid w:val="00486F40"/>
    <w:rsid w:val="00495C6C"/>
    <w:rsid w:val="004A0B27"/>
    <w:rsid w:val="004A0C80"/>
    <w:rsid w:val="004A0D5B"/>
    <w:rsid w:val="004A2D23"/>
    <w:rsid w:val="004A35EF"/>
    <w:rsid w:val="004A7311"/>
    <w:rsid w:val="004A74BA"/>
    <w:rsid w:val="004B067D"/>
    <w:rsid w:val="004B0B34"/>
    <w:rsid w:val="004B4AC8"/>
    <w:rsid w:val="004B4E8A"/>
    <w:rsid w:val="004C1326"/>
    <w:rsid w:val="004C1417"/>
    <w:rsid w:val="004C18ED"/>
    <w:rsid w:val="004C4BDC"/>
    <w:rsid w:val="004D1A44"/>
    <w:rsid w:val="004D2BC9"/>
    <w:rsid w:val="004D2EFE"/>
    <w:rsid w:val="004D5FFC"/>
    <w:rsid w:val="004D7226"/>
    <w:rsid w:val="004E2A68"/>
    <w:rsid w:val="004E4B0F"/>
    <w:rsid w:val="004F1CD8"/>
    <w:rsid w:val="004F3C24"/>
    <w:rsid w:val="004F756F"/>
    <w:rsid w:val="004F7F10"/>
    <w:rsid w:val="005001A3"/>
    <w:rsid w:val="005036DA"/>
    <w:rsid w:val="005052C9"/>
    <w:rsid w:val="00506961"/>
    <w:rsid w:val="0051496C"/>
    <w:rsid w:val="00514B79"/>
    <w:rsid w:val="00515376"/>
    <w:rsid w:val="00516EB5"/>
    <w:rsid w:val="00520546"/>
    <w:rsid w:val="00520743"/>
    <w:rsid w:val="00521C79"/>
    <w:rsid w:val="005245FD"/>
    <w:rsid w:val="00525356"/>
    <w:rsid w:val="005256AF"/>
    <w:rsid w:val="00526E67"/>
    <w:rsid w:val="005308B2"/>
    <w:rsid w:val="00530CE6"/>
    <w:rsid w:val="00531E00"/>
    <w:rsid w:val="00532C41"/>
    <w:rsid w:val="00533201"/>
    <w:rsid w:val="00541C4C"/>
    <w:rsid w:val="0054338F"/>
    <w:rsid w:val="00543F98"/>
    <w:rsid w:val="00546F3A"/>
    <w:rsid w:val="0055023A"/>
    <w:rsid w:val="00551F8F"/>
    <w:rsid w:val="0055297A"/>
    <w:rsid w:val="00552C7B"/>
    <w:rsid w:val="00553D3E"/>
    <w:rsid w:val="0055496A"/>
    <w:rsid w:val="00557491"/>
    <w:rsid w:val="005579F6"/>
    <w:rsid w:val="0056106B"/>
    <w:rsid w:val="00562E77"/>
    <w:rsid w:val="00563923"/>
    <w:rsid w:val="00566ADA"/>
    <w:rsid w:val="005708A8"/>
    <w:rsid w:val="005753F0"/>
    <w:rsid w:val="005849A7"/>
    <w:rsid w:val="00585266"/>
    <w:rsid w:val="00586A0F"/>
    <w:rsid w:val="00591229"/>
    <w:rsid w:val="00594C0E"/>
    <w:rsid w:val="00595EA5"/>
    <w:rsid w:val="005969F9"/>
    <w:rsid w:val="00596E2F"/>
    <w:rsid w:val="00596F14"/>
    <w:rsid w:val="00597F88"/>
    <w:rsid w:val="005A009E"/>
    <w:rsid w:val="005A0A6F"/>
    <w:rsid w:val="005A4EAA"/>
    <w:rsid w:val="005A624C"/>
    <w:rsid w:val="005A6E8F"/>
    <w:rsid w:val="005A7BD4"/>
    <w:rsid w:val="005B14FF"/>
    <w:rsid w:val="005B1CD7"/>
    <w:rsid w:val="005B2A43"/>
    <w:rsid w:val="005B2DC1"/>
    <w:rsid w:val="005C1124"/>
    <w:rsid w:val="005C64BF"/>
    <w:rsid w:val="005C6E4B"/>
    <w:rsid w:val="005D0472"/>
    <w:rsid w:val="005D0F52"/>
    <w:rsid w:val="005D1708"/>
    <w:rsid w:val="005D1FCD"/>
    <w:rsid w:val="005D2708"/>
    <w:rsid w:val="005D4C96"/>
    <w:rsid w:val="005D4CAA"/>
    <w:rsid w:val="005D61B2"/>
    <w:rsid w:val="005D6815"/>
    <w:rsid w:val="005D7A04"/>
    <w:rsid w:val="005D7D54"/>
    <w:rsid w:val="005E16FC"/>
    <w:rsid w:val="005E29AA"/>
    <w:rsid w:val="005E35B0"/>
    <w:rsid w:val="005E6F1D"/>
    <w:rsid w:val="005F603E"/>
    <w:rsid w:val="0060058D"/>
    <w:rsid w:val="00600FE0"/>
    <w:rsid w:val="00602F6E"/>
    <w:rsid w:val="00604C1F"/>
    <w:rsid w:val="0060550A"/>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5F31"/>
    <w:rsid w:val="00631256"/>
    <w:rsid w:val="00631F2F"/>
    <w:rsid w:val="006326F1"/>
    <w:rsid w:val="0063438C"/>
    <w:rsid w:val="00637CDC"/>
    <w:rsid w:val="0064114D"/>
    <w:rsid w:val="00641394"/>
    <w:rsid w:val="00645F42"/>
    <w:rsid w:val="00647610"/>
    <w:rsid w:val="00652482"/>
    <w:rsid w:val="006564F5"/>
    <w:rsid w:val="006572DB"/>
    <w:rsid w:val="00657B8A"/>
    <w:rsid w:val="00660779"/>
    <w:rsid w:val="00662E6A"/>
    <w:rsid w:val="006644C6"/>
    <w:rsid w:val="00674442"/>
    <w:rsid w:val="00674ACF"/>
    <w:rsid w:val="0067637D"/>
    <w:rsid w:val="00683F57"/>
    <w:rsid w:val="006863BF"/>
    <w:rsid w:val="006879C9"/>
    <w:rsid w:val="00687B18"/>
    <w:rsid w:val="0069139A"/>
    <w:rsid w:val="00693300"/>
    <w:rsid w:val="006973E6"/>
    <w:rsid w:val="006A0D1F"/>
    <w:rsid w:val="006A0FC7"/>
    <w:rsid w:val="006A1CDE"/>
    <w:rsid w:val="006A1CF1"/>
    <w:rsid w:val="006A1F5B"/>
    <w:rsid w:val="006A4012"/>
    <w:rsid w:val="006A437D"/>
    <w:rsid w:val="006A72D1"/>
    <w:rsid w:val="006B1D6F"/>
    <w:rsid w:val="006B2525"/>
    <w:rsid w:val="006B2B8E"/>
    <w:rsid w:val="006B5B75"/>
    <w:rsid w:val="006C0829"/>
    <w:rsid w:val="006C42E8"/>
    <w:rsid w:val="006C56D7"/>
    <w:rsid w:val="006C5DC3"/>
    <w:rsid w:val="006D2304"/>
    <w:rsid w:val="006D2A6D"/>
    <w:rsid w:val="006D2CBF"/>
    <w:rsid w:val="006D3AED"/>
    <w:rsid w:val="006D76CD"/>
    <w:rsid w:val="006E1967"/>
    <w:rsid w:val="006E321C"/>
    <w:rsid w:val="006E4216"/>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5EF6"/>
    <w:rsid w:val="00721B29"/>
    <w:rsid w:val="00721E7C"/>
    <w:rsid w:val="00725EF5"/>
    <w:rsid w:val="00726BE5"/>
    <w:rsid w:val="00736CC6"/>
    <w:rsid w:val="00736D17"/>
    <w:rsid w:val="007403FA"/>
    <w:rsid w:val="00741A88"/>
    <w:rsid w:val="00743188"/>
    <w:rsid w:val="0074490A"/>
    <w:rsid w:val="00744E0C"/>
    <w:rsid w:val="00744F6F"/>
    <w:rsid w:val="007452AE"/>
    <w:rsid w:val="00746CE9"/>
    <w:rsid w:val="00747349"/>
    <w:rsid w:val="007509F8"/>
    <w:rsid w:val="00755030"/>
    <w:rsid w:val="00755678"/>
    <w:rsid w:val="0075613C"/>
    <w:rsid w:val="00761706"/>
    <w:rsid w:val="007626D3"/>
    <w:rsid w:val="00763114"/>
    <w:rsid w:val="00766775"/>
    <w:rsid w:val="00767578"/>
    <w:rsid w:val="00771205"/>
    <w:rsid w:val="00774294"/>
    <w:rsid w:val="00775B33"/>
    <w:rsid w:val="007844BE"/>
    <w:rsid w:val="007852F3"/>
    <w:rsid w:val="00786E71"/>
    <w:rsid w:val="007941E8"/>
    <w:rsid w:val="00794512"/>
    <w:rsid w:val="00794A0D"/>
    <w:rsid w:val="00794DF0"/>
    <w:rsid w:val="00795571"/>
    <w:rsid w:val="007A2B08"/>
    <w:rsid w:val="007A3826"/>
    <w:rsid w:val="007A4758"/>
    <w:rsid w:val="007A6FDA"/>
    <w:rsid w:val="007B079D"/>
    <w:rsid w:val="007B240E"/>
    <w:rsid w:val="007B557C"/>
    <w:rsid w:val="007B796E"/>
    <w:rsid w:val="007B7D73"/>
    <w:rsid w:val="007C0474"/>
    <w:rsid w:val="007C0818"/>
    <w:rsid w:val="007C14E9"/>
    <w:rsid w:val="007C1DA9"/>
    <w:rsid w:val="007C3FF7"/>
    <w:rsid w:val="007C4D1A"/>
    <w:rsid w:val="007D3989"/>
    <w:rsid w:val="007D549A"/>
    <w:rsid w:val="007D56FA"/>
    <w:rsid w:val="007D649A"/>
    <w:rsid w:val="007D7C3E"/>
    <w:rsid w:val="007E027B"/>
    <w:rsid w:val="007E0E28"/>
    <w:rsid w:val="007E174F"/>
    <w:rsid w:val="007E18CE"/>
    <w:rsid w:val="007E1AAB"/>
    <w:rsid w:val="007E2208"/>
    <w:rsid w:val="007E7D3F"/>
    <w:rsid w:val="007F1C84"/>
    <w:rsid w:val="007F3052"/>
    <w:rsid w:val="007F36C8"/>
    <w:rsid w:val="007F3A50"/>
    <w:rsid w:val="007F63DD"/>
    <w:rsid w:val="007F7A85"/>
    <w:rsid w:val="00800105"/>
    <w:rsid w:val="00802872"/>
    <w:rsid w:val="00802FA3"/>
    <w:rsid w:val="00803D62"/>
    <w:rsid w:val="008100A9"/>
    <w:rsid w:val="00810CE0"/>
    <w:rsid w:val="00811984"/>
    <w:rsid w:val="00812C47"/>
    <w:rsid w:val="00813688"/>
    <w:rsid w:val="00813C8F"/>
    <w:rsid w:val="008142FD"/>
    <w:rsid w:val="008164A1"/>
    <w:rsid w:val="00817219"/>
    <w:rsid w:val="00817A23"/>
    <w:rsid w:val="0082358A"/>
    <w:rsid w:val="00824FAD"/>
    <w:rsid w:val="0082509B"/>
    <w:rsid w:val="00832F1E"/>
    <w:rsid w:val="0083685F"/>
    <w:rsid w:val="00837339"/>
    <w:rsid w:val="0083744D"/>
    <w:rsid w:val="00843233"/>
    <w:rsid w:val="00847AA7"/>
    <w:rsid w:val="00850158"/>
    <w:rsid w:val="008517E1"/>
    <w:rsid w:val="00851BEA"/>
    <w:rsid w:val="00862056"/>
    <w:rsid w:val="008647B5"/>
    <w:rsid w:val="00864CBC"/>
    <w:rsid w:val="00867A39"/>
    <w:rsid w:val="0087211E"/>
    <w:rsid w:val="00890DA4"/>
    <w:rsid w:val="00892F8A"/>
    <w:rsid w:val="00893C59"/>
    <w:rsid w:val="0089426E"/>
    <w:rsid w:val="008948D4"/>
    <w:rsid w:val="008965B5"/>
    <w:rsid w:val="00897546"/>
    <w:rsid w:val="008A002B"/>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C4026"/>
    <w:rsid w:val="008D32F9"/>
    <w:rsid w:val="008D586A"/>
    <w:rsid w:val="008D77EC"/>
    <w:rsid w:val="008D77F8"/>
    <w:rsid w:val="008E10A0"/>
    <w:rsid w:val="008E3D20"/>
    <w:rsid w:val="008E45C0"/>
    <w:rsid w:val="008E7E06"/>
    <w:rsid w:val="008F0C24"/>
    <w:rsid w:val="008F0DB6"/>
    <w:rsid w:val="008F1839"/>
    <w:rsid w:val="008F2129"/>
    <w:rsid w:val="008F2281"/>
    <w:rsid w:val="008F43CC"/>
    <w:rsid w:val="008F7A98"/>
    <w:rsid w:val="00900D2C"/>
    <w:rsid w:val="009030AC"/>
    <w:rsid w:val="0090496D"/>
    <w:rsid w:val="009059FB"/>
    <w:rsid w:val="00907E4D"/>
    <w:rsid w:val="00912103"/>
    <w:rsid w:val="00913CC6"/>
    <w:rsid w:val="00916CDA"/>
    <w:rsid w:val="00917064"/>
    <w:rsid w:val="0092098B"/>
    <w:rsid w:val="00920C7B"/>
    <w:rsid w:val="009212A9"/>
    <w:rsid w:val="00921D0E"/>
    <w:rsid w:val="00922FBB"/>
    <w:rsid w:val="00926614"/>
    <w:rsid w:val="0093236F"/>
    <w:rsid w:val="00932BC5"/>
    <w:rsid w:val="00932F32"/>
    <w:rsid w:val="009361F9"/>
    <w:rsid w:val="00936660"/>
    <w:rsid w:val="00937BF1"/>
    <w:rsid w:val="00937F0E"/>
    <w:rsid w:val="00942712"/>
    <w:rsid w:val="00946B13"/>
    <w:rsid w:val="00951444"/>
    <w:rsid w:val="00964B1D"/>
    <w:rsid w:val="00964F3E"/>
    <w:rsid w:val="009734A6"/>
    <w:rsid w:val="00976970"/>
    <w:rsid w:val="00976D4F"/>
    <w:rsid w:val="0098034C"/>
    <w:rsid w:val="0098630E"/>
    <w:rsid w:val="009927B8"/>
    <w:rsid w:val="009956E0"/>
    <w:rsid w:val="00996B0B"/>
    <w:rsid w:val="009977AB"/>
    <w:rsid w:val="009A06C4"/>
    <w:rsid w:val="009A353A"/>
    <w:rsid w:val="009A3B15"/>
    <w:rsid w:val="009B3CA7"/>
    <w:rsid w:val="009B5FBE"/>
    <w:rsid w:val="009B72B5"/>
    <w:rsid w:val="009C259F"/>
    <w:rsid w:val="009C32E6"/>
    <w:rsid w:val="009C423A"/>
    <w:rsid w:val="009C4EC3"/>
    <w:rsid w:val="009C6D7D"/>
    <w:rsid w:val="009C7248"/>
    <w:rsid w:val="009D4A26"/>
    <w:rsid w:val="009D7D8D"/>
    <w:rsid w:val="009E04DD"/>
    <w:rsid w:val="009E30ED"/>
    <w:rsid w:val="009E3ACB"/>
    <w:rsid w:val="009E51CF"/>
    <w:rsid w:val="009F05D0"/>
    <w:rsid w:val="009F1ABF"/>
    <w:rsid w:val="009F5DC6"/>
    <w:rsid w:val="00A00C54"/>
    <w:rsid w:val="00A0258F"/>
    <w:rsid w:val="00A0320B"/>
    <w:rsid w:val="00A03E08"/>
    <w:rsid w:val="00A117BE"/>
    <w:rsid w:val="00A1240C"/>
    <w:rsid w:val="00A13085"/>
    <w:rsid w:val="00A1341C"/>
    <w:rsid w:val="00A1344A"/>
    <w:rsid w:val="00A15670"/>
    <w:rsid w:val="00A17E5D"/>
    <w:rsid w:val="00A22C6A"/>
    <w:rsid w:val="00A232C1"/>
    <w:rsid w:val="00A2473B"/>
    <w:rsid w:val="00A31FEE"/>
    <w:rsid w:val="00A32665"/>
    <w:rsid w:val="00A330AB"/>
    <w:rsid w:val="00A334AB"/>
    <w:rsid w:val="00A33CF4"/>
    <w:rsid w:val="00A34F6C"/>
    <w:rsid w:val="00A3545B"/>
    <w:rsid w:val="00A36084"/>
    <w:rsid w:val="00A37803"/>
    <w:rsid w:val="00A40107"/>
    <w:rsid w:val="00A42B2E"/>
    <w:rsid w:val="00A43965"/>
    <w:rsid w:val="00A43A8F"/>
    <w:rsid w:val="00A46AF1"/>
    <w:rsid w:val="00A47EA0"/>
    <w:rsid w:val="00A505FF"/>
    <w:rsid w:val="00A543F4"/>
    <w:rsid w:val="00A5544B"/>
    <w:rsid w:val="00A579F8"/>
    <w:rsid w:val="00A62C43"/>
    <w:rsid w:val="00A65444"/>
    <w:rsid w:val="00A675B4"/>
    <w:rsid w:val="00A67E15"/>
    <w:rsid w:val="00A70C5E"/>
    <w:rsid w:val="00A7225A"/>
    <w:rsid w:val="00A87787"/>
    <w:rsid w:val="00A90431"/>
    <w:rsid w:val="00A91028"/>
    <w:rsid w:val="00A91101"/>
    <w:rsid w:val="00A91276"/>
    <w:rsid w:val="00A92C58"/>
    <w:rsid w:val="00A939AF"/>
    <w:rsid w:val="00A95347"/>
    <w:rsid w:val="00A956EB"/>
    <w:rsid w:val="00A95D78"/>
    <w:rsid w:val="00AA0970"/>
    <w:rsid w:val="00AA0D55"/>
    <w:rsid w:val="00AA326A"/>
    <w:rsid w:val="00AA455F"/>
    <w:rsid w:val="00AA4E46"/>
    <w:rsid w:val="00AA6809"/>
    <w:rsid w:val="00AB01D5"/>
    <w:rsid w:val="00AB07FF"/>
    <w:rsid w:val="00AB3514"/>
    <w:rsid w:val="00AB4FF0"/>
    <w:rsid w:val="00AB7E38"/>
    <w:rsid w:val="00AC0185"/>
    <w:rsid w:val="00AC0670"/>
    <w:rsid w:val="00AC097F"/>
    <w:rsid w:val="00AC0CAA"/>
    <w:rsid w:val="00AC220E"/>
    <w:rsid w:val="00AC49FD"/>
    <w:rsid w:val="00AC75AA"/>
    <w:rsid w:val="00AD4E7B"/>
    <w:rsid w:val="00AE1EEE"/>
    <w:rsid w:val="00AE29F7"/>
    <w:rsid w:val="00AE4236"/>
    <w:rsid w:val="00AE51B0"/>
    <w:rsid w:val="00AF2AAD"/>
    <w:rsid w:val="00AF3D5A"/>
    <w:rsid w:val="00B078EC"/>
    <w:rsid w:val="00B07D19"/>
    <w:rsid w:val="00B104BA"/>
    <w:rsid w:val="00B1182E"/>
    <w:rsid w:val="00B11859"/>
    <w:rsid w:val="00B123C0"/>
    <w:rsid w:val="00B15D1F"/>
    <w:rsid w:val="00B16A62"/>
    <w:rsid w:val="00B16B0D"/>
    <w:rsid w:val="00B16BA1"/>
    <w:rsid w:val="00B1708F"/>
    <w:rsid w:val="00B20D0D"/>
    <w:rsid w:val="00B24C34"/>
    <w:rsid w:val="00B27969"/>
    <w:rsid w:val="00B30292"/>
    <w:rsid w:val="00B30409"/>
    <w:rsid w:val="00B3232C"/>
    <w:rsid w:val="00B35201"/>
    <w:rsid w:val="00B35DEE"/>
    <w:rsid w:val="00B368BD"/>
    <w:rsid w:val="00B36C5A"/>
    <w:rsid w:val="00B40294"/>
    <w:rsid w:val="00B42CF6"/>
    <w:rsid w:val="00B4307D"/>
    <w:rsid w:val="00B43B73"/>
    <w:rsid w:val="00B43F8D"/>
    <w:rsid w:val="00B453C7"/>
    <w:rsid w:val="00B46126"/>
    <w:rsid w:val="00B50FDA"/>
    <w:rsid w:val="00B512FE"/>
    <w:rsid w:val="00B5190C"/>
    <w:rsid w:val="00B53E85"/>
    <w:rsid w:val="00B54C9E"/>
    <w:rsid w:val="00B560AA"/>
    <w:rsid w:val="00B61ED5"/>
    <w:rsid w:val="00B63086"/>
    <w:rsid w:val="00B67330"/>
    <w:rsid w:val="00B67DC9"/>
    <w:rsid w:val="00B7228C"/>
    <w:rsid w:val="00B7385F"/>
    <w:rsid w:val="00B74EDD"/>
    <w:rsid w:val="00B80578"/>
    <w:rsid w:val="00B82E1E"/>
    <w:rsid w:val="00B82F92"/>
    <w:rsid w:val="00B86834"/>
    <w:rsid w:val="00B86897"/>
    <w:rsid w:val="00B91541"/>
    <w:rsid w:val="00B91A82"/>
    <w:rsid w:val="00B943B8"/>
    <w:rsid w:val="00B978C6"/>
    <w:rsid w:val="00BA11F0"/>
    <w:rsid w:val="00BA13A3"/>
    <w:rsid w:val="00BA1C0F"/>
    <w:rsid w:val="00BA2EED"/>
    <w:rsid w:val="00BA5B76"/>
    <w:rsid w:val="00BA5EFF"/>
    <w:rsid w:val="00BA6C68"/>
    <w:rsid w:val="00BB300B"/>
    <w:rsid w:val="00BB368C"/>
    <w:rsid w:val="00BB39B5"/>
    <w:rsid w:val="00BB49A5"/>
    <w:rsid w:val="00BB6D59"/>
    <w:rsid w:val="00BB74CD"/>
    <w:rsid w:val="00BB7985"/>
    <w:rsid w:val="00BC14C3"/>
    <w:rsid w:val="00BC3AEA"/>
    <w:rsid w:val="00BC4859"/>
    <w:rsid w:val="00BC5470"/>
    <w:rsid w:val="00BC6B2E"/>
    <w:rsid w:val="00BC6F10"/>
    <w:rsid w:val="00BC753F"/>
    <w:rsid w:val="00BC7E81"/>
    <w:rsid w:val="00BD19FE"/>
    <w:rsid w:val="00BD21BC"/>
    <w:rsid w:val="00BD431D"/>
    <w:rsid w:val="00BD6669"/>
    <w:rsid w:val="00BD6ADD"/>
    <w:rsid w:val="00BE26FE"/>
    <w:rsid w:val="00BE52AB"/>
    <w:rsid w:val="00BE5A19"/>
    <w:rsid w:val="00BE62E3"/>
    <w:rsid w:val="00BE7448"/>
    <w:rsid w:val="00BF1B7F"/>
    <w:rsid w:val="00BF30DA"/>
    <w:rsid w:val="00BF45E6"/>
    <w:rsid w:val="00BF48D5"/>
    <w:rsid w:val="00BF7735"/>
    <w:rsid w:val="00BF7DEE"/>
    <w:rsid w:val="00C034E2"/>
    <w:rsid w:val="00C10807"/>
    <w:rsid w:val="00C108F7"/>
    <w:rsid w:val="00C136DA"/>
    <w:rsid w:val="00C151B5"/>
    <w:rsid w:val="00C1526D"/>
    <w:rsid w:val="00C1622F"/>
    <w:rsid w:val="00C1767C"/>
    <w:rsid w:val="00C215CE"/>
    <w:rsid w:val="00C264AE"/>
    <w:rsid w:val="00C271CB"/>
    <w:rsid w:val="00C274A5"/>
    <w:rsid w:val="00C300BF"/>
    <w:rsid w:val="00C3078C"/>
    <w:rsid w:val="00C31E7E"/>
    <w:rsid w:val="00C34931"/>
    <w:rsid w:val="00C35F3A"/>
    <w:rsid w:val="00C40D77"/>
    <w:rsid w:val="00C4362F"/>
    <w:rsid w:val="00C44055"/>
    <w:rsid w:val="00C46124"/>
    <w:rsid w:val="00C47E26"/>
    <w:rsid w:val="00C5158D"/>
    <w:rsid w:val="00C5161E"/>
    <w:rsid w:val="00C54213"/>
    <w:rsid w:val="00C54B8E"/>
    <w:rsid w:val="00C557F9"/>
    <w:rsid w:val="00C56CFE"/>
    <w:rsid w:val="00C601F3"/>
    <w:rsid w:val="00C60387"/>
    <w:rsid w:val="00C61AF2"/>
    <w:rsid w:val="00C61E0D"/>
    <w:rsid w:val="00C642B4"/>
    <w:rsid w:val="00C6550E"/>
    <w:rsid w:val="00C66D74"/>
    <w:rsid w:val="00C678D0"/>
    <w:rsid w:val="00C72AC1"/>
    <w:rsid w:val="00C72B6F"/>
    <w:rsid w:val="00C76A41"/>
    <w:rsid w:val="00C76D1D"/>
    <w:rsid w:val="00C80606"/>
    <w:rsid w:val="00C83EE9"/>
    <w:rsid w:val="00C83F7B"/>
    <w:rsid w:val="00C8416B"/>
    <w:rsid w:val="00C91EE1"/>
    <w:rsid w:val="00C9290C"/>
    <w:rsid w:val="00C9396A"/>
    <w:rsid w:val="00C94045"/>
    <w:rsid w:val="00C94174"/>
    <w:rsid w:val="00C94490"/>
    <w:rsid w:val="00C94C38"/>
    <w:rsid w:val="00C975B5"/>
    <w:rsid w:val="00CA0081"/>
    <w:rsid w:val="00CA1366"/>
    <w:rsid w:val="00CA17BB"/>
    <w:rsid w:val="00CA388A"/>
    <w:rsid w:val="00CA53DD"/>
    <w:rsid w:val="00CB2BFE"/>
    <w:rsid w:val="00CB7C76"/>
    <w:rsid w:val="00CC1987"/>
    <w:rsid w:val="00CC5FEC"/>
    <w:rsid w:val="00CD0547"/>
    <w:rsid w:val="00CD0C86"/>
    <w:rsid w:val="00CD10D7"/>
    <w:rsid w:val="00CD2FDC"/>
    <w:rsid w:val="00CD4CC6"/>
    <w:rsid w:val="00CE032A"/>
    <w:rsid w:val="00CE5815"/>
    <w:rsid w:val="00CE76DF"/>
    <w:rsid w:val="00CF28C8"/>
    <w:rsid w:val="00CF5C38"/>
    <w:rsid w:val="00CF6EA4"/>
    <w:rsid w:val="00D0114C"/>
    <w:rsid w:val="00D01745"/>
    <w:rsid w:val="00D027C4"/>
    <w:rsid w:val="00D04275"/>
    <w:rsid w:val="00D0752F"/>
    <w:rsid w:val="00D07E43"/>
    <w:rsid w:val="00D13E68"/>
    <w:rsid w:val="00D1577F"/>
    <w:rsid w:val="00D207FE"/>
    <w:rsid w:val="00D2175A"/>
    <w:rsid w:val="00D22A9C"/>
    <w:rsid w:val="00D24314"/>
    <w:rsid w:val="00D2488F"/>
    <w:rsid w:val="00D306B4"/>
    <w:rsid w:val="00D315D9"/>
    <w:rsid w:val="00D31CCC"/>
    <w:rsid w:val="00D37234"/>
    <w:rsid w:val="00D37A98"/>
    <w:rsid w:val="00D43574"/>
    <w:rsid w:val="00D4600C"/>
    <w:rsid w:val="00D47ECA"/>
    <w:rsid w:val="00D5314D"/>
    <w:rsid w:val="00D53C98"/>
    <w:rsid w:val="00D54324"/>
    <w:rsid w:val="00D5441B"/>
    <w:rsid w:val="00D548D6"/>
    <w:rsid w:val="00D56098"/>
    <w:rsid w:val="00D5682F"/>
    <w:rsid w:val="00D57C84"/>
    <w:rsid w:val="00D651BE"/>
    <w:rsid w:val="00D71D98"/>
    <w:rsid w:val="00D7594C"/>
    <w:rsid w:val="00D75EA5"/>
    <w:rsid w:val="00D77539"/>
    <w:rsid w:val="00D80458"/>
    <w:rsid w:val="00D81065"/>
    <w:rsid w:val="00D82507"/>
    <w:rsid w:val="00D86B89"/>
    <w:rsid w:val="00D90EF4"/>
    <w:rsid w:val="00D936FC"/>
    <w:rsid w:val="00D9457D"/>
    <w:rsid w:val="00D95AE0"/>
    <w:rsid w:val="00D96F37"/>
    <w:rsid w:val="00D97974"/>
    <w:rsid w:val="00DA1A02"/>
    <w:rsid w:val="00DA1FC1"/>
    <w:rsid w:val="00DA2742"/>
    <w:rsid w:val="00DA3754"/>
    <w:rsid w:val="00DA3CD3"/>
    <w:rsid w:val="00DA450C"/>
    <w:rsid w:val="00DA626A"/>
    <w:rsid w:val="00DA6384"/>
    <w:rsid w:val="00DB1B3C"/>
    <w:rsid w:val="00DB2E50"/>
    <w:rsid w:val="00DB364B"/>
    <w:rsid w:val="00DB4EF0"/>
    <w:rsid w:val="00DB59C7"/>
    <w:rsid w:val="00DB62F7"/>
    <w:rsid w:val="00DB76C7"/>
    <w:rsid w:val="00DC767A"/>
    <w:rsid w:val="00DD0097"/>
    <w:rsid w:val="00DD013F"/>
    <w:rsid w:val="00DD1560"/>
    <w:rsid w:val="00DD2460"/>
    <w:rsid w:val="00DD3391"/>
    <w:rsid w:val="00DD5381"/>
    <w:rsid w:val="00DD7B80"/>
    <w:rsid w:val="00DE0DA6"/>
    <w:rsid w:val="00DE0DEB"/>
    <w:rsid w:val="00DE32CE"/>
    <w:rsid w:val="00DE3C38"/>
    <w:rsid w:val="00DF098F"/>
    <w:rsid w:val="00DF1840"/>
    <w:rsid w:val="00DF288B"/>
    <w:rsid w:val="00DF3DFF"/>
    <w:rsid w:val="00DF5909"/>
    <w:rsid w:val="00E01159"/>
    <w:rsid w:val="00E042B7"/>
    <w:rsid w:val="00E05F99"/>
    <w:rsid w:val="00E06073"/>
    <w:rsid w:val="00E07950"/>
    <w:rsid w:val="00E07C2C"/>
    <w:rsid w:val="00E132EC"/>
    <w:rsid w:val="00E15EB8"/>
    <w:rsid w:val="00E17520"/>
    <w:rsid w:val="00E17AD2"/>
    <w:rsid w:val="00E20EBB"/>
    <w:rsid w:val="00E21EED"/>
    <w:rsid w:val="00E2289B"/>
    <w:rsid w:val="00E23010"/>
    <w:rsid w:val="00E237E1"/>
    <w:rsid w:val="00E26004"/>
    <w:rsid w:val="00E26FCF"/>
    <w:rsid w:val="00E271F0"/>
    <w:rsid w:val="00E304F1"/>
    <w:rsid w:val="00E319DB"/>
    <w:rsid w:val="00E32074"/>
    <w:rsid w:val="00E328CC"/>
    <w:rsid w:val="00E41969"/>
    <w:rsid w:val="00E41FF8"/>
    <w:rsid w:val="00E43A36"/>
    <w:rsid w:val="00E446A7"/>
    <w:rsid w:val="00E44741"/>
    <w:rsid w:val="00E4555D"/>
    <w:rsid w:val="00E47250"/>
    <w:rsid w:val="00E51520"/>
    <w:rsid w:val="00E52DA0"/>
    <w:rsid w:val="00E612CB"/>
    <w:rsid w:val="00E64566"/>
    <w:rsid w:val="00E64A66"/>
    <w:rsid w:val="00E6629F"/>
    <w:rsid w:val="00E6687F"/>
    <w:rsid w:val="00E72D55"/>
    <w:rsid w:val="00E75C01"/>
    <w:rsid w:val="00E76FC2"/>
    <w:rsid w:val="00E7710F"/>
    <w:rsid w:val="00E773AE"/>
    <w:rsid w:val="00E80B38"/>
    <w:rsid w:val="00E81003"/>
    <w:rsid w:val="00E819ED"/>
    <w:rsid w:val="00E81D83"/>
    <w:rsid w:val="00E820F6"/>
    <w:rsid w:val="00E82F73"/>
    <w:rsid w:val="00E8535D"/>
    <w:rsid w:val="00E85AD0"/>
    <w:rsid w:val="00E90C20"/>
    <w:rsid w:val="00E923A6"/>
    <w:rsid w:val="00E94E72"/>
    <w:rsid w:val="00EA0A04"/>
    <w:rsid w:val="00EA0A10"/>
    <w:rsid w:val="00EA1675"/>
    <w:rsid w:val="00EA3C06"/>
    <w:rsid w:val="00EA5A2B"/>
    <w:rsid w:val="00EB22D4"/>
    <w:rsid w:val="00EB2E31"/>
    <w:rsid w:val="00EB3B77"/>
    <w:rsid w:val="00EB4DC1"/>
    <w:rsid w:val="00EB7080"/>
    <w:rsid w:val="00EB726D"/>
    <w:rsid w:val="00EB786B"/>
    <w:rsid w:val="00EC0B0D"/>
    <w:rsid w:val="00EC0C73"/>
    <w:rsid w:val="00EC1F4C"/>
    <w:rsid w:val="00EC5812"/>
    <w:rsid w:val="00EC5B90"/>
    <w:rsid w:val="00ED01B6"/>
    <w:rsid w:val="00ED1710"/>
    <w:rsid w:val="00ED298D"/>
    <w:rsid w:val="00ED49B8"/>
    <w:rsid w:val="00ED4E41"/>
    <w:rsid w:val="00EE0DBB"/>
    <w:rsid w:val="00EE4363"/>
    <w:rsid w:val="00EE49B3"/>
    <w:rsid w:val="00EE6D02"/>
    <w:rsid w:val="00EF3895"/>
    <w:rsid w:val="00EF6BD5"/>
    <w:rsid w:val="00EF7093"/>
    <w:rsid w:val="00F00A2C"/>
    <w:rsid w:val="00F01B8A"/>
    <w:rsid w:val="00F036C2"/>
    <w:rsid w:val="00F0400A"/>
    <w:rsid w:val="00F0407F"/>
    <w:rsid w:val="00F040B2"/>
    <w:rsid w:val="00F061DF"/>
    <w:rsid w:val="00F06823"/>
    <w:rsid w:val="00F12428"/>
    <w:rsid w:val="00F12A50"/>
    <w:rsid w:val="00F177B8"/>
    <w:rsid w:val="00F2103C"/>
    <w:rsid w:val="00F228D1"/>
    <w:rsid w:val="00F22F58"/>
    <w:rsid w:val="00F24D23"/>
    <w:rsid w:val="00F27E2A"/>
    <w:rsid w:val="00F34A67"/>
    <w:rsid w:val="00F355C1"/>
    <w:rsid w:val="00F35FEC"/>
    <w:rsid w:val="00F3647D"/>
    <w:rsid w:val="00F408F2"/>
    <w:rsid w:val="00F42155"/>
    <w:rsid w:val="00F42FEE"/>
    <w:rsid w:val="00F43855"/>
    <w:rsid w:val="00F46E16"/>
    <w:rsid w:val="00F56BDA"/>
    <w:rsid w:val="00F60658"/>
    <w:rsid w:val="00F61142"/>
    <w:rsid w:val="00F61C83"/>
    <w:rsid w:val="00F62896"/>
    <w:rsid w:val="00F641BE"/>
    <w:rsid w:val="00F64DEA"/>
    <w:rsid w:val="00F71CF7"/>
    <w:rsid w:val="00F740D9"/>
    <w:rsid w:val="00F779AB"/>
    <w:rsid w:val="00F82162"/>
    <w:rsid w:val="00F83DB6"/>
    <w:rsid w:val="00F84D93"/>
    <w:rsid w:val="00F865AF"/>
    <w:rsid w:val="00F8770C"/>
    <w:rsid w:val="00F90028"/>
    <w:rsid w:val="00F92BA0"/>
    <w:rsid w:val="00F949FD"/>
    <w:rsid w:val="00F958BD"/>
    <w:rsid w:val="00F95EA2"/>
    <w:rsid w:val="00FA0190"/>
    <w:rsid w:val="00FA3CF7"/>
    <w:rsid w:val="00FA5DB0"/>
    <w:rsid w:val="00FA789F"/>
    <w:rsid w:val="00FB08FD"/>
    <w:rsid w:val="00FB091B"/>
    <w:rsid w:val="00FB2D64"/>
    <w:rsid w:val="00FB379D"/>
    <w:rsid w:val="00FB55B9"/>
    <w:rsid w:val="00FB6732"/>
    <w:rsid w:val="00FC0D1B"/>
    <w:rsid w:val="00FC1C09"/>
    <w:rsid w:val="00FC281B"/>
    <w:rsid w:val="00FC3258"/>
    <w:rsid w:val="00FC69A8"/>
    <w:rsid w:val="00FC7972"/>
    <w:rsid w:val="00FD1D04"/>
    <w:rsid w:val="00FD2A11"/>
    <w:rsid w:val="00FD32D1"/>
    <w:rsid w:val="00FD34FB"/>
    <w:rsid w:val="00FD664B"/>
    <w:rsid w:val="00FE1ABE"/>
    <w:rsid w:val="00FE2070"/>
    <w:rsid w:val="00FE36AE"/>
    <w:rsid w:val="00FF0567"/>
    <w:rsid w:val="00FF2390"/>
    <w:rsid w:val="00FF270F"/>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F036C2"/>
    <w:rPr>
      <w:rFonts w:ascii="Arial" w:eastAsia="Times New Roman" w:hAnsi="Arial" w:cs="Times New Roman"/>
      <w:sz w:val="18"/>
      <w:szCs w:val="20"/>
      <w:lang w:val="en-GB"/>
    </w:rPr>
  </w:style>
  <w:style w:type="character" w:customStyle="1" w:styleId="TAHChar">
    <w:name w:val="TAH Char"/>
    <w:link w:val="TAH"/>
    <w:locked/>
    <w:rsid w:val="00F036C2"/>
    <w:rPr>
      <w:rFonts w:ascii="Arial" w:eastAsia="Times New Roman" w:hAnsi="Arial" w:cs="Times New Roman"/>
      <w:b/>
      <w:sz w:val="18"/>
      <w:szCs w:val="20"/>
      <w:lang w:val="en-GB"/>
    </w:rPr>
  </w:style>
  <w:style w:type="character" w:customStyle="1" w:styleId="THChar">
    <w:name w:val="TH Char"/>
    <w:link w:val="TH"/>
    <w:rsid w:val="00F036C2"/>
    <w:rPr>
      <w:rFonts w:ascii="Arial" w:eastAsia="Times New Roman" w:hAnsi="Arial" w:cs="Times New Roman"/>
      <w:b/>
      <w:sz w:val="20"/>
      <w:szCs w:val="20"/>
      <w:lang w:val="en-GB"/>
    </w:rPr>
  </w:style>
  <w:style w:type="character" w:customStyle="1" w:styleId="B1Char">
    <w:name w:val="B1 Char"/>
    <w:link w:val="B1"/>
    <w:locked/>
    <w:rsid w:val="00303D81"/>
    <w:rPr>
      <w:rFonts w:ascii="Arial" w:eastAsia="Times New Roma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F036C2"/>
    <w:rPr>
      <w:rFonts w:ascii="Arial" w:eastAsia="Times New Roman" w:hAnsi="Arial" w:cs="Times New Roman"/>
      <w:sz w:val="18"/>
      <w:szCs w:val="20"/>
      <w:lang w:val="en-GB"/>
    </w:rPr>
  </w:style>
  <w:style w:type="character" w:customStyle="1" w:styleId="TAHChar">
    <w:name w:val="TAH Char"/>
    <w:link w:val="TAH"/>
    <w:locked/>
    <w:rsid w:val="00F036C2"/>
    <w:rPr>
      <w:rFonts w:ascii="Arial" w:eastAsia="Times New Roman" w:hAnsi="Arial" w:cs="Times New Roman"/>
      <w:b/>
      <w:sz w:val="18"/>
      <w:szCs w:val="20"/>
      <w:lang w:val="en-GB"/>
    </w:rPr>
  </w:style>
  <w:style w:type="character" w:customStyle="1" w:styleId="THChar">
    <w:name w:val="TH Char"/>
    <w:link w:val="TH"/>
    <w:rsid w:val="00F036C2"/>
    <w:rPr>
      <w:rFonts w:ascii="Arial" w:eastAsia="Times New Roman" w:hAnsi="Arial" w:cs="Times New Roman"/>
      <w:b/>
      <w:sz w:val="20"/>
      <w:szCs w:val="20"/>
      <w:lang w:val="en-GB"/>
    </w:rPr>
  </w:style>
  <w:style w:type="character" w:customStyle="1" w:styleId="B1Char">
    <w:name w:val="B1 Char"/>
    <w:link w:val="B1"/>
    <w:locked/>
    <w:rsid w:val="00303D81"/>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92243">
      <w:bodyDiv w:val="1"/>
      <w:marLeft w:val="0"/>
      <w:marRight w:val="0"/>
      <w:marTop w:val="0"/>
      <w:marBottom w:val="0"/>
      <w:divBdr>
        <w:top w:val="none" w:sz="0" w:space="0" w:color="auto"/>
        <w:left w:val="none" w:sz="0" w:space="0" w:color="auto"/>
        <w:bottom w:val="none" w:sz="0" w:space="0" w:color="auto"/>
        <w:right w:val="none" w:sz="0" w:space="0" w:color="auto"/>
      </w:divBdr>
    </w:div>
    <w:div w:id="113671820">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70158531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98D50-58FD-452F-8F02-B525896DC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2789</Words>
  <Characters>14785</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Yutao Sui</cp:lastModifiedBy>
  <cp:revision>8</cp:revision>
  <cp:lastPrinted>2015-07-20T19:34:00Z</cp:lastPrinted>
  <dcterms:created xsi:type="dcterms:W3CDTF">2015-11-17T19:55:00Z</dcterms:created>
  <dcterms:modified xsi:type="dcterms:W3CDTF">2015-11-17T20:22:00Z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